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МИНИСТЕРСТВО ОБРАЗОВАНИЯ И НАУКИ РОССИЙСКОЙ ФЕДЕРАЦИИ</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федеральное государственное бюджетное образовательное учреждение </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высшего образования </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«ИРКУТСКИЙ ГОСУДАРСТВЕННЫЙ УНИВЕРСИТЕТ»</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ФГБОУ ВО «ИГУ»</w:t>
      </w:r>
    </w:p>
    <w:p w:rsidR="005C379B" w:rsidRPr="005C379B" w:rsidRDefault="005C379B" w:rsidP="005C379B">
      <w:pPr>
        <w:widowControl w:val="0"/>
        <w:jc w:val="center"/>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center"/>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right"/>
        <w:rPr>
          <w:rFonts w:ascii="Times New Roman" w:eastAsia="Calibri" w:hAnsi="Times New Roman" w:cs="Times New Roman"/>
          <w:sz w:val="28"/>
          <w:szCs w:val="28"/>
        </w:rPr>
      </w:pPr>
      <w:r w:rsidRPr="005C379B">
        <w:rPr>
          <w:rFonts w:ascii="Times New Roman" w:eastAsia="Calibri" w:hAnsi="Times New Roman" w:cs="Times New Roman"/>
          <w:sz w:val="28"/>
          <w:szCs w:val="28"/>
        </w:rPr>
        <w:t>Н.В. Москвитина</w:t>
      </w:r>
    </w:p>
    <w:p w:rsidR="005C379B" w:rsidRPr="005C379B" w:rsidRDefault="005C379B" w:rsidP="005C379B">
      <w:pPr>
        <w:widowControl w:val="0"/>
        <w:shd w:val="clear" w:color="auto" w:fill="FFFFFF"/>
        <w:ind w:right="24" w:firstLine="446"/>
        <w:jc w:val="center"/>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center"/>
        <w:rPr>
          <w:rFonts w:ascii="Times New Roman" w:eastAsia="Calibri" w:hAnsi="Times New Roman" w:cs="Times New Roman"/>
          <w:sz w:val="28"/>
          <w:szCs w:val="28"/>
        </w:rPr>
      </w:pPr>
    </w:p>
    <w:p w:rsidR="005C379B" w:rsidRPr="005C379B" w:rsidRDefault="005C379B" w:rsidP="005C379B">
      <w:pPr>
        <w:widowControl w:val="0"/>
        <w:jc w:val="center"/>
        <w:rPr>
          <w:rFonts w:ascii="Times New Roman" w:eastAsia="Calibri" w:hAnsi="Times New Roman" w:cs="Times New Roman"/>
          <w:noProof/>
          <w:sz w:val="28"/>
          <w:szCs w:val="28"/>
        </w:rPr>
      </w:pPr>
      <w:r w:rsidRPr="005C379B">
        <w:rPr>
          <w:rFonts w:ascii="Times New Roman" w:eastAsia="Calibri" w:hAnsi="Times New Roman" w:cs="Times New Roman"/>
          <w:noProof/>
          <w:sz w:val="28"/>
          <w:szCs w:val="28"/>
        </w:rPr>
        <w:t>РАЗДАТОЧНЫЙ МАТЕРИАЛ ПО ДИСЦИПЛИНЕ</w:t>
      </w:r>
    </w:p>
    <w:p w:rsidR="005C379B" w:rsidRPr="005C379B" w:rsidRDefault="005C379B" w:rsidP="005C379B">
      <w:pPr>
        <w:widowControl w:val="0"/>
        <w:shd w:val="clear" w:color="auto" w:fill="FFFFFF"/>
        <w:ind w:right="24"/>
        <w:jc w:val="center"/>
        <w:rPr>
          <w:rFonts w:ascii="Times New Roman" w:eastAsia="Calibri" w:hAnsi="Times New Roman" w:cs="Times New Roman"/>
          <w:caps/>
          <w:sz w:val="28"/>
          <w:szCs w:val="28"/>
        </w:rPr>
      </w:pPr>
      <w:r w:rsidRPr="005C379B">
        <w:rPr>
          <w:rFonts w:ascii="Times New Roman" w:eastAsia="Calibri" w:hAnsi="Times New Roman" w:cs="Times New Roman"/>
          <w:caps/>
          <w:sz w:val="28"/>
          <w:szCs w:val="28"/>
        </w:rPr>
        <w:t>Управление муниципальными финансами</w:t>
      </w:r>
    </w:p>
    <w:p w:rsidR="005C379B" w:rsidRPr="005C379B" w:rsidRDefault="005C379B" w:rsidP="005C379B">
      <w:pPr>
        <w:widowControl w:val="0"/>
        <w:shd w:val="clear" w:color="auto" w:fill="FFFFFF"/>
        <w:ind w:right="24" w:firstLine="446"/>
        <w:jc w:val="center"/>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center"/>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both"/>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both"/>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both"/>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both"/>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both"/>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both"/>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both"/>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both"/>
        <w:rPr>
          <w:rFonts w:ascii="Times New Roman" w:eastAsia="Calibri" w:hAnsi="Times New Roman" w:cs="Times New Roman"/>
          <w:sz w:val="28"/>
          <w:szCs w:val="28"/>
        </w:rPr>
      </w:pPr>
    </w:p>
    <w:p w:rsidR="005C379B" w:rsidRPr="005C379B" w:rsidRDefault="005C379B" w:rsidP="005C379B">
      <w:pPr>
        <w:widowControl w:val="0"/>
        <w:shd w:val="clear" w:color="auto" w:fill="FFFFFF"/>
        <w:ind w:right="24" w:firstLine="446"/>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Иркутск 2019</w:t>
      </w:r>
    </w:p>
    <w:p w:rsidR="005C379B" w:rsidRPr="005C379B" w:rsidRDefault="005C379B" w:rsidP="005C379B">
      <w:pPr>
        <w:widowControl w:val="0"/>
        <w:shd w:val="clear" w:color="auto" w:fill="FFFFFF"/>
        <w:ind w:right="24" w:firstLine="446"/>
        <w:jc w:val="center"/>
        <w:rPr>
          <w:rFonts w:ascii="Times New Roman" w:eastAsia="Calibri" w:hAnsi="Times New Roman" w:cs="Times New Roman"/>
          <w:sz w:val="28"/>
          <w:szCs w:val="28"/>
        </w:rPr>
      </w:pP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lastRenderedPageBreak/>
        <w:t>Раздел 1. Теоретические основы муниципальных финансов.</w:t>
      </w: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t xml:space="preserve">Тема 1. Содержание муниципальных финансов. </w:t>
      </w:r>
    </w:p>
    <w:p w:rsidR="005C379B" w:rsidRPr="005C379B" w:rsidRDefault="005C379B" w:rsidP="005C379B">
      <w:pPr>
        <w:spacing w:after="0" w:line="240" w:lineRule="auto"/>
        <w:jc w:val="center"/>
        <w:rPr>
          <w:rFonts w:ascii="Times New Roman" w:eastAsia="Calibri" w:hAnsi="Times New Roman" w:cs="Times New Roman"/>
        </w:rPr>
      </w:pPr>
      <w:r>
        <w:rPr>
          <w:rFonts w:ascii="Times New Roman" w:eastAsia="Calibri" w:hAnsi="Times New Roman" w:cs="Times New Roman"/>
          <w:b/>
          <w:noProof/>
          <w:sz w:val="28"/>
          <w:szCs w:val="28"/>
          <w:lang w:eastAsia="ru-RU"/>
        </w:rPr>
        <mc:AlternateContent>
          <mc:Choice Requires="wpc">
            <w:drawing>
              <wp:inline distT="0" distB="0" distL="0" distR="0">
                <wp:extent cx="5940425" cy="5604510"/>
                <wp:effectExtent l="3810" t="3810" r="0" b="1905"/>
                <wp:docPr id="113" name="Полотно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 name="Rectangle 90"/>
                        <wps:cNvSpPr>
                          <a:spLocks noChangeArrowheads="1"/>
                        </wps:cNvSpPr>
                        <wps:spPr bwMode="auto">
                          <a:xfrm>
                            <a:off x="189764" y="129532"/>
                            <a:ext cx="5605451" cy="415821"/>
                          </a:xfrm>
                          <a:prstGeom prst="rect">
                            <a:avLst/>
                          </a:prstGeom>
                          <a:solidFill>
                            <a:srgbClr val="FFFFFF"/>
                          </a:solidFill>
                          <a:ln w="9525">
                            <a:solidFill>
                              <a:srgbClr val="000000"/>
                            </a:solidFill>
                            <a:miter lim="800000"/>
                            <a:headEnd/>
                            <a:tailEnd/>
                          </a:ln>
                        </wps:spPr>
                        <wps:txbx>
                          <w:txbxContent>
                            <w:p w:rsidR="005C379B" w:rsidRPr="00DA752C" w:rsidRDefault="005C379B" w:rsidP="005C379B">
                              <w:pPr>
                                <w:jc w:val="center"/>
                                <w:rPr>
                                  <w:rFonts w:ascii="Times New Roman" w:hAnsi="Times New Roman"/>
                                  <w:sz w:val="28"/>
                                  <w:szCs w:val="28"/>
                                </w:rPr>
                              </w:pPr>
                              <w:r>
                                <w:rPr>
                                  <w:rFonts w:ascii="Times New Roman" w:hAnsi="Times New Roman"/>
                                  <w:sz w:val="28"/>
                                  <w:szCs w:val="28"/>
                                </w:rPr>
                                <w:t>Структура государственных и муниципальных финансов</w:t>
                              </w:r>
                            </w:p>
                          </w:txbxContent>
                        </wps:txbx>
                        <wps:bodyPr rot="0" vert="horz" wrap="square" lIns="91440" tIns="45720" rIns="91440" bIns="45720" anchor="t" anchorCtr="0" upright="1">
                          <a:noAutofit/>
                        </wps:bodyPr>
                      </wps:wsp>
                      <wps:wsp>
                        <wps:cNvPr id="91" name="Rectangle 91"/>
                        <wps:cNvSpPr>
                          <a:spLocks noChangeArrowheads="1"/>
                        </wps:cNvSpPr>
                        <wps:spPr bwMode="auto">
                          <a:xfrm>
                            <a:off x="83331" y="1032127"/>
                            <a:ext cx="1614641" cy="28026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92"/>
                        <wps:cNvSpPr>
                          <a:spLocks noChangeArrowheads="1"/>
                        </wps:cNvSpPr>
                        <wps:spPr bwMode="auto">
                          <a:xfrm>
                            <a:off x="1911662" y="1032127"/>
                            <a:ext cx="2054397" cy="4418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93"/>
                        <wps:cNvSpPr>
                          <a:spLocks noChangeArrowheads="1"/>
                        </wps:cNvSpPr>
                        <wps:spPr bwMode="auto">
                          <a:xfrm>
                            <a:off x="4120345" y="1032127"/>
                            <a:ext cx="1674870" cy="31830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AutoShape 94"/>
                        <wps:cNvSpPr>
                          <a:spLocks noChangeArrowheads="1"/>
                        </wps:cNvSpPr>
                        <wps:spPr bwMode="auto">
                          <a:xfrm>
                            <a:off x="189764" y="1115457"/>
                            <a:ext cx="1424877" cy="831642"/>
                          </a:xfrm>
                          <a:prstGeom prst="roundRect">
                            <a:avLst>
                              <a:gd name="adj" fmla="val 16667"/>
                            </a:avLst>
                          </a:prstGeom>
                          <a:solidFill>
                            <a:srgbClr val="FFFFFF"/>
                          </a:solidFill>
                          <a:ln w="9525">
                            <a:solidFill>
                              <a:srgbClr val="000000"/>
                            </a:solidFill>
                            <a:round/>
                            <a:headEnd/>
                            <a:tailEnd/>
                          </a:ln>
                        </wps:spPr>
                        <wps:txbx>
                          <w:txbxContent>
                            <w:p w:rsidR="005C379B" w:rsidRPr="00FA6893" w:rsidRDefault="005C379B" w:rsidP="005C379B">
                              <w:pPr>
                                <w:jc w:val="center"/>
                                <w:rPr>
                                  <w:rFonts w:ascii="Times New Roman" w:hAnsi="Times New Roman"/>
                                  <w:sz w:val="20"/>
                                  <w:szCs w:val="20"/>
                                </w:rPr>
                              </w:pPr>
                              <w:r w:rsidRPr="00FA6893">
                                <w:rPr>
                                  <w:rFonts w:ascii="Times New Roman" w:hAnsi="Times New Roman"/>
                                  <w:sz w:val="20"/>
                                  <w:szCs w:val="20"/>
                                </w:rPr>
                                <w:t>Система государственных и муниципальных заимствований</w:t>
                              </w:r>
                            </w:p>
                          </w:txbxContent>
                        </wps:txbx>
                        <wps:bodyPr rot="0" vert="horz" wrap="square" lIns="91440" tIns="45720" rIns="91440" bIns="45720" anchor="t" anchorCtr="0" upright="1">
                          <a:noAutofit/>
                        </wps:bodyPr>
                      </wps:wsp>
                      <wps:wsp>
                        <wps:cNvPr id="95" name="Rectangle 95"/>
                        <wps:cNvSpPr>
                          <a:spLocks noChangeArrowheads="1"/>
                        </wps:cNvSpPr>
                        <wps:spPr bwMode="auto">
                          <a:xfrm>
                            <a:off x="273095" y="2172335"/>
                            <a:ext cx="1199636" cy="641058"/>
                          </a:xfrm>
                          <a:prstGeom prst="rect">
                            <a:avLst/>
                          </a:prstGeom>
                          <a:solidFill>
                            <a:srgbClr val="FFFFFF"/>
                          </a:solidFill>
                          <a:ln w="9525">
                            <a:solidFill>
                              <a:srgbClr val="000000"/>
                            </a:solidFill>
                            <a:miter lim="800000"/>
                            <a:headEnd/>
                            <a:tailEnd/>
                          </a:ln>
                        </wps:spPr>
                        <wps:txbx>
                          <w:txbxContent>
                            <w:p w:rsidR="005C379B" w:rsidRPr="00FA6893" w:rsidRDefault="005C379B" w:rsidP="005C379B">
                              <w:pPr>
                                <w:jc w:val="center"/>
                                <w:rPr>
                                  <w:rFonts w:ascii="Times New Roman" w:hAnsi="Times New Roman"/>
                                </w:rPr>
                              </w:pPr>
                              <w:r>
                                <w:rPr>
                                  <w:rFonts w:ascii="Times New Roman" w:hAnsi="Times New Roman"/>
                                </w:rPr>
                                <w:t>Внешний долг</w:t>
                              </w:r>
                            </w:p>
                          </w:txbxContent>
                        </wps:txbx>
                        <wps:bodyPr rot="0" vert="horz" wrap="square" lIns="91440" tIns="45720" rIns="91440" bIns="45720" anchor="t" anchorCtr="0" upright="1">
                          <a:noAutofit/>
                        </wps:bodyPr>
                      </wps:wsp>
                      <wps:wsp>
                        <wps:cNvPr id="96" name="Rectangle 96"/>
                        <wps:cNvSpPr>
                          <a:spLocks noChangeArrowheads="1"/>
                        </wps:cNvSpPr>
                        <wps:spPr bwMode="auto">
                          <a:xfrm>
                            <a:off x="273095" y="3015528"/>
                            <a:ext cx="1199636" cy="534627"/>
                          </a:xfrm>
                          <a:prstGeom prst="rect">
                            <a:avLst/>
                          </a:prstGeom>
                          <a:solidFill>
                            <a:srgbClr val="FFFFFF"/>
                          </a:solidFill>
                          <a:ln w="9525">
                            <a:solidFill>
                              <a:srgbClr val="000000"/>
                            </a:solidFill>
                            <a:miter lim="800000"/>
                            <a:headEnd/>
                            <a:tailEnd/>
                          </a:ln>
                        </wps:spPr>
                        <wps:txbx>
                          <w:txbxContent>
                            <w:p w:rsidR="005C379B" w:rsidRPr="00FA6893" w:rsidRDefault="005C379B" w:rsidP="005C379B">
                              <w:pPr>
                                <w:jc w:val="center"/>
                                <w:rPr>
                                  <w:rFonts w:ascii="Times New Roman" w:hAnsi="Times New Roman"/>
                                </w:rPr>
                              </w:pPr>
                              <w:r w:rsidRPr="00FA6893">
                                <w:rPr>
                                  <w:rFonts w:ascii="Times New Roman" w:hAnsi="Times New Roman"/>
                                </w:rPr>
                                <w:t>Внутренний долг</w:t>
                              </w:r>
                            </w:p>
                          </w:txbxContent>
                        </wps:txbx>
                        <wps:bodyPr rot="0" vert="horz" wrap="square" lIns="91440" tIns="45720" rIns="91440" bIns="45720" anchor="t" anchorCtr="0" upright="1">
                          <a:noAutofit/>
                        </wps:bodyPr>
                      </wps:wsp>
                      <wps:wsp>
                        <wps:cNvPr id="97" name="AutoShape 97"/>
                        <wps:cNvSpPr>
                          <a:spLocks noChangeArrowheads="1"/>
                        </wps:cNvSpPr>
                        <wps:spPr bwMode="auto">
                          <a:xfrm>
                            <a:off x="2125352" y="1115457"/>
                            <a:ext cx="1627016" cy="629507"/>
                          </a:xfrm>
                          <a:prstGeom prst="roundRect">
                            <a:avLst>
                              <a:gd name="adj" fmla="val 16667"/>
                            </a:avLst>
                          </a:prstGeom>
                          <a:solidFill>
                            <a:srgbClr val="FFFFFF"/>
                          </a:solidFill>
                          <a:ln w="9525">
                            <a:solidFill>
                              <a:srgbClr val="000000"/>
                            </a:solidFill>
                            <a:round/>
                            <a:headEnd/>
                            <a:tailEnd/>
                          </a:ln>
                        </wps:spPr>
                        <wps:txbx>
                          <w:txbxContent>
                            <w:p w:rsidR="005C379B" w:rsidRPr="00FA6893" w:rsidRDefault="005C379B" w:rsidP="005C379B">
                              <w:pPr>
                                <w:jc w:val="center"/>
                                <w:rPr>
                                  <w:rFonts w:ascii="Times New Roman" w:hAnsi="Times New Roman"/>
                                </w:rPr>
                              </w:pPr>
                              <w:r w:rsidRPr="00FA6893">
                                <w:rPr>
                                  <w:rFonts w:ascii="Times New Roman" w:hAnsi="Times New Roman"/>
                                </w:rPr>
                                <w:t>Консолидированный бюджет РФ</w:t>
                              </w:r>
                            </w:p>
                          </w:txbxContent>
                        </wps:txbx>
                        <wps:bodyPr rot="0" vert="horz" wrap="square" lIns="91440" tIns="45720" rIns="91440" bIns="45720" anchor="t" anchorCtr="0" upright="1">
                          <a:noAutofit/>
                        </wps:bodyPr>
                      </wps:wsp>
                      <wps:wsp>
                        <wps:cNvPr id="98" name="AutoShape 98"/>
                        <wps:cNvSpPr>
                          <a:spLocks noChangeArrowheads="1"/>
                        </wps:cNvSpPr>
                        <wps:spPr bwMode="auto">
                          <a:xfrm>
                            <a:off x="4274631" y="1186410"/>
                            <a:ext cx="1282967" cy="688910"/>
                          </a:xfrm>
                          <a:prstGeom prst="roundRect">
                            <a:avLst>
                              <a:gd name="adj" fmla="val 16667"/>
                            </a:avLst>
                          </a:prstGeom>
                          <a:solidFill>
                            <a:srgbClr val="FFFFFF"/>
                          </a:solidFill>
                          <a:ln w="9525">
                            <a:solidFill>
                              <a:srgbClr val="000000"/>
                            </a:solidFill>
                            <a:round/>
                            <a:headEnd/>
                            <a:tailEnd/>
                          </a:ln>
                        </wps:spPr>
                        <wps:txbx>
                          <w:txbxContent>
                            <w:p w:rsidR="005C379B" w:rsidRPr="00FA6893" w:rsidRDefault="005C379B" w:rsidP="005C379B">
                              <w:pPr>
                                <w:jc w:val="center"/>
                                <w:rPr>
                                  <w:rFonts w:ascii="Times New Roman" w:hAnsi="Times New Roman"/>
                                </w:rPr>
                              </w:pPr>
                              <w:r w:rsidRPr="00FA6893">
                                <w:rPr>
                                  <w:rFonts w:ascii="Times New Roman" w:hAnsi="Times New Roman"/>
                                </w:rPr>
                                <w:t>Внебюджетные фонды</w:t>
                              </w:r>
                            </w:p>
                          </w:txbxContent>
                        </wps:txbx>
                        <wps:bodyPr rot="0" vert="horz" wrap="square" lIns="91440" tIns="45720" rIns="91440" bIns="45720" anchor="t" anchorCtr="0" upright="1">
                          <a:noAutofit/>
                        </wps:bodyPr>
                      </wps:wsp>
                      <wps:wsp>
                        <wps:cNvPr id="99" name="Rectangle 99"/>
                        <wps:cNvSpPr>
                          <a:spLocks noChangeArrowheads="1"/>
                        </wps:cNvSpPr>
                        <wps:spPr bwMode="auto">
                          <a:xfrm>
                            <a:off x="2006544" y="2089006"/>
                            <a:ext cx="1093203" cy="534627"/>
                          </a:xfrm>
                          <a:prstGeom prst="rect">
                            <a:avLst/>
                          </a:prstGeom>
                          <a:solidFill>
                            <a:srgbClr val="FFFFFF"/>
                          </a:solidFill>
                          <a:ln w="9525">
                            <a:solidFill>
                              <a:srgbClr val="000000"/>
                            </a:solidFill>
                            <a:miter lim="800000"/>
                            <a:headEnd/>
                            <a:tailEnd/>
                          </a:ln>
                        </wps:spPr>
                        <wps:txbx>
                          <w:txbxContent>
                            <w:p w:rsidR="005C379B" w:rsidRPr="00FA6893" w:rsidRDefault="005C379B" w:rsidP="005C379B">
                              <w:pPr>
                                <w:jc w:val="center"/>
                                <w:rPr>
                                  <w:rFonts w:ascii="Times New Roman" w:hAnsi="Times New Roman"/>
                                </w:rPr>
                              </w:pPr>
                              <w:r w:rsidRPr="00FA6893">
                                <w:rPr>
                                  <w:rFonts w:ascii="Times New Roman" w:hAnsi="Times New Roman"/>
                                </w:rPr>
                                <w:t>Федеральный бюджет</w:t>
                              </w:r>
                            </w:p>
                          </w:txbxContent>
                        </wps:txbx>
                        <wps:bodyPr rot="0" vert="horz" wrap="square" lIns="91440" tIns="45720" rIns="91440" bIns="45720" anchor="t" anchorCtr="0" upright="1">
                          <a:noAutofit/>
                        </wps:bodyPr>
                      </wps:wsp>
                      <wps:wsp>
                        <wps:cNvPr id="100" name="Rectangle 100"/>
                        <wps:cNvSpPr>
                          <a:spLocks noChangeArrowheads="1"/>
                        </wps:cNvSpPr>
                        <wps:spPr bwMode="auto">
                          <a:xfrm>
                            <a:off x="2006544" y="2813393"/>
                            <a:ext cx="1093203" cy="510701"/>
                          </a:xfrm>
                          <a:prstGeom prst="rect">
                            <a:avLst/>
                          </a:prstGeom>
                          <a:solidFill>
                            <a:srgbClr val="FFFFFF"/>
                          </a:solidFill>
                          <a:ln w="9525">
                            <a:solidFill>
                              <a:srgbClr val="000000"/>
                            </a:solidFill>
                            <a:miter lim="800000"/>
                            <a:headEnd/>
                            <a:tailEnd/>
                          </a:ln>
                        </wps:spPr>
                        <wps:txbx>
                          <w:txbxContent>
                            <w:p w:rsidR="005C379B" w:rsidRPr="00FA6893" w:rsidRDefault="005C379B" w:rsidP="005C379B">
                              <w:pPr>
                                <w:jc w:val="center"/>
                                <w:rPr>
                                  <w:rFonts w:ascii="Times New Roman" w:hAnsi="Times New Roman"/>
                                </w:rPr>
                              </w:pPr>
                              <w:r>
                                <w:rPr>
                                  <w:rFonts w:ascii="Times New Roman" w:hAnsi="Times New Roman"/>
                                </w:rPr>
                                <w:t>Региональный бюджет</w:t>
                              </w:r>
                            </w:p>
                          </w:txbxContent>
                        </wps:txbx>
                        <wps:bodyPr rot="0" vert="horz" wrap="square" lIns="91440" tIns="45720" rIns="91440" bIns="45720" anchor="t" anchorCtr="0" upright="1">
                          <a:noAutofit/>
                        </wps:bodyPr>
                      </wps:wsp>
                      <wps:wsp>
                        <wps:cNvPr id="101" name="Rectangle 101"/>
                        <wps:cNvSpPr>
                          <a:spLocks noChangeArrowheads="1"/>
                        </wps:cNvSpPr>
                        <wps:spPr bwMode="auto">
                          <a:xfrm>
                            <a:off x="2006544" y="3550156"/>
                            <a:ext cx="1093203" cy="593205"/>
                          </a:xfrm>
                          <a:prstGeom prst="rect">
                            <a:avLst/>
                          </a:prstGeom>
                          <a:solidFill>
                            <a:srgbClr val="FFFFFF"/>
                          </a:solidFill>
                          <a:ln w="9525">
                            <a:solidFill>
                              <a:srgbClr val="000000"/>
                            </a:solidFill>
                            <a:miter lim="800000"/>
                            <a:headEnd/>
                            <a:tailEnd/>
                          </a:ln>
                        </wps:spPr>
                        <wps:txbx>
                          <w:txbxContent>
                            <w:p w:rsidR="005C379B" w:rsidRPr="00FA6893" w:rsidRDefault="005C379B" w:rsidP="005C379B">
                              <w:pPr>
                                <w:jc w:val="center"/>
                                <w:rPr>
                                  <w:rFonts w:ascii="Times New Roman" w:hAnsi="Times New Roman"/>
                                </w:rPr>
                              </w:pPr>
                              <w:r>
                                <w:rPr>
                                  <w:rFonts w:ascii="Times New Roman" w:hAnsi="Times New Roman"/>
                                </w:rPr>
                                <w:t xml:space="preserve">Местный бюджет </w:t>
                              </w:r>
                            </w:p>
                          </w:txbxContent>
                        </wps:txbx>
                        <wps:bodyPr rot="0" vert="horz" wrap="square" lIns="91440" tIns="45720" rIns="91440" bIns="45720" anchor="t" anchorCtr="0" upright="1">
                          <a:noAutofit/>
                        </wps:bodyPr>
                      </wps:wsp>
                      <wps:wsp>
                        <wps:cNvPr id="102" name="Rectangle 102"/>
                        <wps:cNvSpPr>
                          <a:spLocks noChangeArrowheads="1"/>
                        </wps:cNvSpPr>
                        <wps:spPr bwMode="auto">
                          <a:xfrm>
                            <a:off x="3289510" y="2089006"/>
                            <a:ext cx="570116" cy="2054354"/>
                          </a:xfrm>
                          <a:prstGeom prst="rect">
                            <a:avLst/>
                          </a:prstGeom>
                          <a:solidFill>
                            <a:srgbClr val="FFFFFF"/>
                          </a:solidFill>
                          <a:ln w="9525">
                            <a:solidFill>
                              <a:srgbClr val="000000"/>
                            </a:solidFill>
                            <a:miter lim="800000"/>
                            <a:headEnd/>
                            <a:tailEnd/>
                          </a:ln>
                        </wps:spPr>
                        <wps:txbx>
                          <w:txbxContent>
                            <w:p w:rsidR="005C379B" w:rsidRDefault="005C379B" w:rsidP="005C379B">
                              <w:pPr>
                                <w:jc w:val="center"/>
                                <w:rPr>
                                  <w:rFonts w:ascii="Times New Roman" w:hAnsi="Times New Roman"/>
                                </w:rPr>
                              </w:pPr>
                              <w:r w:rsidRPr="00FA6893">
                                <w:rPr>
                                  <w:rFonts w:ascii="Times New Roman" w:hAnsi="Times New Roman"/>
                                </w:rPr>
                                <w:t xml:space="preserve">Консолидированный </w:t>
                              </w:r>
                            </w:p>
                            <w:p w:rsidR="005C379B" w:rsidRDefault="005C379B" w:rsidP="005C379B">
                              <w:pPr>
                                <w:jc w:val="center"/>
                                <w:rPr>
                                  <w:rFonts w:ascii="Times New Roman" w:hAnsi="Times New Roman"/>
                                </w:rPr>
                              </w:pPr>
                              <w:r w:rsidRPr="00FA6893">
                                <w:rPr>
                                  <w:rFonts w:ascii="Times New Roman" w:hAnsi="Times New Roman"/>
                                </w:rPr>
                                <w:t xml:space="preserve">бюджет </w:t>
                              </w:r>
                            </w:p>
                            <w:p w:rsidR="005C379B" w:rsidRPr="00FA6893" w:rsidRDefault="005C379B" w:rsidP="005C379B">
                              <w:pPr>
                                <w:jc w:val="center"/>
                                <w:rPr>
                                  <w:rFonts w:ascii="Times New Roman" w:hAnsi="Times New Roman"/>
                                </w:rPr>
                              </w:pPr>
                              <w:r w:rsidRPr="00FA6893">
                                <w:rPr>
                                  <w:rFonts w:ascii="Times New Roman" w:hAnsi="Times New Roman"/>
                                </w:rPr>
                                <w:t>территорий</w:t>
                              </w:r>
                            </w:p>
                          </w:txbxContent>
                        </wps:txbx>
                        <wps:bodyPr rot="0" vert="horz" wrap="square" lIns="91440" tIns="45720" rIns="91440" bIns="45720" anchor="t" anchorCtr="0" upright="1">
                          <a:noAutofit/>
                        </wps:bodyPr>
                      </wps:wsp>
                      <wps:wsp>
                        <wps:cNvPr id="103" name="Rectangle 103"/>
                        <wps:cNvSpPr>
                          <a:spLocks noChangeArrowheads="1"/>
                        </wps:cNvSpPr>
                        <wps:spPr bwMode="auto">
                          <a:xfrm>
                            <a:off x="2006544" y="4393348"/>
                            <a:ext cx="855586" cy="782965"/>
                          </a:xfrm>
                          <a:prstGeom prst="rect">
                            <a:avLst/>
                          </a:prstGeom>
                          <a:solidFill>
                            <a:srgbClr val="FFFFFF"/>
                          </a:solidFill>
                          <a:ln w="9525">
                            <a:solidFill>
                              <a:srgbClr val="000000"/>
                            </a:solidFill>
                            <a:miter lim="800000"/>
                            <a:headEnd/>
                            <a:tailEnd/>
                          </a:ln>
                        </wps:spPr>
                        <wps:txbx>
                          <w:txbxContent>
                            <w:p w:rsidR="005C379B" w:rsidRPr="00FA6893" w:rsidRDefault="005C379B" w:rsidP="005C379B">
                              <w:pPr>
                                <w:rPr>
                                  <w:rFonts w:ascii="Times New Roman" w:hAnsi="Times New Roman"/>
                                </w:rPr>
                              </w:pPr>
                              <w:r w:rsidRPr="00FA6893">
                                <w:rPr>
                                  <w:rFonts w:ascii="Times New Roman" w:hAnsi="Times New Roman"/>
                                </w:rPr>
                                <w:t>Бюджет городских округов</w:t>
                              </w:r>
                            </w:p>
                          </w:txbxContent>
                        </wps:txbx>
                        <wps:bodyPr rot="0" vert="horz" wrap="square" lIns="91440" tIns="45720" rIns="91440" bIns="45720" anchor="t" anchorCtr="0" upright="1">
                          <a:noAutofit/>
                        </wps:bodyPr>
                      </wps:wsp>
                      <wps:wsp>
                        <wps:cNvPr id="104" name="Rectangle 104"/>
                        <wps:cNvSpPr>
                          <a:spLocks noChangeArrowheads="1"/>
                        </wps:cNvSpPr>
                        <wps:spPr bwMode="auto">
                          <a:xfrm>
                            <a:off x="2980938" y="4393348"/>
                            <a:ext cx="878688" cy="712011"/>
                          </a:xfrm>
                          <a:prstGeom prst="rect">
                            <a:avLst/>
                          </a:prstGeom>
                          <a:solidFill>
                            <a:srgbClr val="FFFFFF"/>
                          </a:solidFill>
                          <a:ln w="9525">
                            <a:solidFill>
                              <a:srgbClr val="000000"/>
                            </a:solidFill>
                            <a:miter lim="800000"/>
                            <a:headEnd/>
                            <a:tailEnd/>
                          </a:ln>
                        </wps:spPr>
                        <wps:txbx>
                          <w:txbxContent>
                            <w:p w:rsidR="005C379B" w:rsidRPr="00FA6893" w:rsidRDefault="005C379B" w:rsidP="005C379B">
                              <w:pPr>
                                <w:rPr>
                                  <w:rFonts w:ascii="Times New Roman" w:hAnsi="Times New Roman"/>
                                </w:rPr>
                              </w:pPr>
                              <w:r w:rsidRPr="00FA6893">
                                <w:rPr>
                                  <w:rFonts w:ascii="Times New Roman" w:hAnsi="Times New Roman"/>
                                </w:rPr>
                                <w:t>Поселковый бюджет</w:t>
                              </w:r>
                            </w:p>
                          </w:txbxContent>
                        </wps:txbx>
                        <wps:bodyPr rot="0" vert="horz" wrap="square" lIns="91440" tIns="45720" rIns="91440" bIns="45720" anchor="t" anchorCtr="0" upright="1">
                          <a:noAutofit/>
                        </wps:bodyPr>
                      </wps:wsp>
                      <wps:wsp>
                        <wps:cNvPr id="105" name="AutoShape 105"/>
                        <wps:cNvCnPr>
                          <a:cxnSpLocks noChangeShapeType="1"/>
                          <a:stCxn id="104" idx="0"/>
                          <a:endCxn id="101" idx="3"/>
                        </wps:cNvCnPr>
                        <wps:spPr bwMode="auto">
                          <a:xfrm flipH="1" flipV="1">
                            <a:off x="3099747" y="3847171"/>
                            <a:ext cx="320123" cy="546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06"/>
                        <wps:cNvCnPr>
                          <a:cxnSpLocks noChangeShapeType="1"/>
                          <a:stCxn id="101" idx="2"/>
                          <a:endCxn id="103" idx="0"/>
                        </wps:cNvCnPr>
                        <wps:spPr bwMode="auto">
                          <a:xfrm flipH="1">
                            <a:off x="2434749" y="4143361"/>
                            <a:ext cx="118809" cy="2499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107"/>
                        <wps:cNvCnPr>
                          <a:cxnSpLocks noChangeShapeType="1"/>
                          <a:stCxn id="100" idx="3"/>
                          <a:endCxn id="102" idx="1"/>
                        </wps:cNvCnPr>
                        <wps:spPr bwMode="auto">
                          <a:xfrm>
                            <a:off x="3099747" y="3069156"/>
                            <a:ext cx="189764" cy="470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08"/>
                        <wps:cNvCnPr>
                          <a:cxnSpLocks noChangeShapeType="1"/>
                          <a:stCxn id="101" idx="3"/>
                          <a:endCxn id="102" idx="1"/>
                        </wps:cNvCnPr>
                        <wps:spPr bwMode="auto">
                          <a:xfrm flipV="1">
                            <a:off x="3099747" y="3116183"/>
                            <a:ext cx="189764" cy="7309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Rectangle 109"/>
                        <wps:cNvSpPr>
                          <a:spLocks noChangeArrowheads="1"/>
                        </wps:cNvSpPr>
                        <wps:spPr bwMode="auto">
                          <a:xfrm>
                            <a:off x="4274631" y="2089006"/>
                            <a:ext cx="724402" cy="534627"/>
                          </a:xfrm>
                          <a:prstGeom prst="rect">
                            <a:avLst/>
                          </a:prstGeom>
                          <a:solidFill>
                            <a:srgbClr val="FFFFFF"/>
                          </a:solidFill>
                          <a:ln w="9525">
                            <a:solidFill>
                              <a:srgbClr val="000000"/>
                            </a:solidFill>
                            <a:miter lim="800000"/>
                            <a:headEnd/>
                            <a:tailEnd/>
                          </a:ln>
                        </wps:spPr>
                        <wps:txbx>
                          <w:txbxContent>
                            <w:p w:rsidR="005C379B" w:rsidRPr="00EF23D4" w:rsidRDefault="005C379B" w:rsidP="005C379B">
                              <w:pPr>
                                <w:jc w:val="center"/>
                                <w:rPr>
                                  <w:rFonts w:ascii="Times New Roman" w:hAnsi="Times New Roman"/>
                                </w:rPr>
                              </w:pPr>
                              <w:r w:rsidRPr="00EF23D4">
                                <w:rPr>
                                  <w:rFonts w:ascii="Times New Roman" w:hAnsi="Times New Roman"/>
                                </w:rPr>
                                <w:t>ПФ РФ</w:t>
                              </w:r>
                            </w:p>
                          </w:txbxContent>
                        </wps:txbx>
                        <wps:bodyPr rot="0" vert="horz" wrap="square" lIns="91440" tIns="45720" rIns="91440" bIns="45720" anchor="t" anchorCtr="0" upright="1">
                          <a:noAutofit/>
                        </wps:bodyPr>
                      </wps:wsp>
                      <wps:wsp>
                        <wps:cNvPr id="110" name="Rectangle 110"/>
                        <wps:cNvSpPr>
                          <a:spLocks noChangeArrowheads="1"/>
                        </wps:cNvSpPr>
                        <wps:spPr bwMode="auto">
                          <a:xfrm>
                            <a:off x="4274631" y="2813393"/>
                            <a:ext cx="724402" cy="510701"/>
                          </a:xfrm>
                          <a:prstGeom prst="rect">
                            <a:avLst/>
                          </a:prstGeom>
                          <a:solidFill>
                            <a:srgbClr val="FFFFFF"/>
                          </a:solidFill>
                          <a:ln w="9525">
                            <a:solidFill>
                              <a:srgbClr val="000000"/>
                            </a:solidFill>
                            <a:miter lim="800000"/>
                            <a:headEnd/>
                            <a:tailEnd/>
                          </a:ln>
                        </wps:spPr>
                        <wps:txbx>
                          <w:txbxContent>
                            <w:p w:rsidR="005C379B" w:rsidRPr="00EF23D4" w:rsidRDefault="005C379B" w:rsidP="005C379B">
                              <w:pPr>
                                <w:jc w:val="center"/>
                                <w:rPr>
                                  <w:rFonts w:ascii="Times New Roman" w:hAnsi="Times New Roman"/>
                                </w:rPr>
                              </w:pPr>
                              <w:r w:rsidRPr="00EF23D4">
                                <w:rPr>
                                  <w:rFonts w:ascii="Times New Roman" w:hAnsi="Times New Roman"/>
                                </w:rPr>
                                <w:t>ФСС России</w:t>
                              </w:r>
                            </w:p>
                          </w:txbxContent>
                        </wps:txbx>
                        <wps:bodyPr rot="0" vert="horz" wrap="square" lIns="91440" tIns="45720" rIns="91440" bIns="45720" anchor="t" anchorCtr="0" upright="1">
                          <a:noAutofit/>
                        </wps:bodyPr>
                      </wps:wsp>
                      <wps:wsp>
                        <wps:cNvPr id="111" name="Rectangle 111"/>
                        <wps:cNvSpPr>
                          <a:spLocks noChangeArrowheads="1"/>
                        </wps:cNvSpPr>
                        <wps:spPr bwMode="auto">
                          <a:xfrm>
                            <a:off x="4274631" y="3550156"/>
                            <a:ext cx="724402" cy="486775"/>
                          </a:xfrm>
                          <a:prstGeom prst="rect">
                            <a:avLst/>
                          </a:prstGeom>
                          <a:solidFill>
                            <a:srgbClr val="FFFFFF"/>
                          </a:solidFill>
                          <a:ln w="9525">
                            <a:solidFill>
                              <a:srgbClr val="000000"/>
                            </a:solidFill>
                            <a:miter lim="800000"/>
                            <a:headEnd/>
                            <a:tailEnd/>
                          </a:ln>
                        </wps:spPr>
                        <wps:txbx>
                          <w:txbxContent>
                            <w:p w:rsidR="005C379B" w:rsidRPr="00EF23D4" w:rsidRDefault="005C379B" w:rsidP="005C379B">
                              <w:pPr>
                                <w:jc w:val="center"/>
                                <w:rPr>
                                  <w:rFonts w:ascii="Times New Roman" w:hAnsi="Times New Roman"/>
                                </w:rPr>
                              </w:pPr>
                              <w:r w:rsidRPr="00EF23D4">
                                <w:rPr>
                                  <w:rFonts w:ascii="Times New Roman" w:hAnsi="Times New Roman"/>
                                </w:rPr>
                                <w:t>ФОМС</w:t>
                              </w:r>
                            </w:p>
                          </w:txbxContent>
                        </wps:txbx>
                        <wps:bodyPr rot="0" vert="horz" wrap="square" lIns="91440" tIns="45720" rIns="91440" bIns="45720" anchor="t" anchorCtr="0" upright="1">
                          <a:noAutofit/>
                        </wps:bodyPr>
                      </wps:wsp>
                      <wps:wsp>
                        <wps:cNvPr id="112" name="Rectangle 112"/>
                        <wps:cNvSpPr>
                          <a:spLocks noChangeArrowheads="1"/>
                        </wps:cNvSpPr>
                        <wps:spPr bwMode="auto">
                          <a:xfrm>
                            <a:off x="5225099" y="2089006"/>
                            <a:ext cx="438931" cy="1841494"/>
                          </a:xfrm>
                          <a:prstGeom prst="rect">
                            <a:avLst/>
                          </a:prstGeom>
                          <a:solidFill>
                            <a:srgbClr val="FFFFFF"/>
                          </a:solidFill>
                          <a:ln w="9525">
                            <a:solidFill>
                              <a:srgbClr val="000000"/>
                            </a:solidFill>
                            <a:miter lim="800000"/>
                            <a:headEnd/>
                            <a:tailEnd/>
                          </a:ln>
                        </wps:spPr>
                        <wps:txbx>
                          <w:txbxContent>
                            <w:p w:rsidR="005C379B" w:rsidRPr="00EF23D4" w:rsidRDefault="005C379B" w:rsidP="005C379B">
                              <w:pPr>
                                <w:jc w:val="center"/>
                                <w:rPr>
                                  <w:rFonts w:ascii="Times New Roman" w:hAnsi="Times New Roman"/>
                                </w:rPr>
                              </w:pPr>
                              <w:r w:rsidRPr="00EF23D4">
                                <w:rPr>
                                  <w:rFonts w:ascii="Times New Roman" w:hAnsi="Times New Roman"/>
                                </w:rPr>
                                <w:t>Федеральные и региональные</w:t>
                              </w:r>
                            </w:p>
                          </w:txbxContent>
                        </wps:txbx>
                        <wps:bodyPr rot="0" vert="horz" wrap="square" lIns="91440" tIns="45720" rIns="91440" bIns="45720" anchor="t" anchorCtr="0" upright="1">
                          <a:noAutofit/>
                        </wps:bodyPr>
                      </wps:wsp>
                    </wpc:wpc>
                  </a:graphicData>
                </a:graphic>
              </wp:inline>
            </w:drawing>
          </mc:Choice>
          <mc:Fallback>
            <w:pict>
              <v:group id="Полотно 113" o:spid="_x0000_s1026" editas="canvas" style="width:467.75pt;height:441.3pt;mso-position-horizontal-relative:char;mso-position-vertical-relative:line" coordsize="59404,5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04;height:56045;visibility:visible;mso-wrap-style:square">
                  <v:fill o:detectmouseclick="t"/>
                  <v:path o:connecttype="none"/>
                </v:shape>
                <v:rect id="Rectangle 90" o:spid="_x0000_s1028" style="position:absolute;left:1897;top:1295;width:56055;height:4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5C379B" w:rsidRPr="00DA752C" w:rsidRDefault="005C379B" w:rsidP="005C379B">
                        <w:pPr>
                          <w:jc w:val="center"/>
                          <w:rPr>
                            <w:rFonts w:ascii="Times New Roman" w:hAnsi="Times New Roman"/>
                            <w:sz w:val="28"/>
                            <w:szCs w:val="28"/>
                          </w:rPr>
                        </w:pPr>
                        <w:r>
                          <w:rPr>
                            <w:rFonts w:ascii="Times New Roman" w:hAnsi="Times New Roman"/>
                            <w:sz w:val="28"/>
                            <w:szCs w:val="28"/>
                          </w:rPr>
                          <w:t>Структура государственных и муниципальных финансов</w:t>
                        </w:r>
                      </w:p>
                    </w:txbxContent>
                  </v:textbox>
                </v:rect>
                <v:rect id="Rectangle 91" o:spid="_x0000_s1029" style="position:absolute;left:833;top:10321;width:16146;height:2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92" o:spid="_x0000_s1030" style="position:absolute;left:19116;top:10321;width:20544;height:44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93" o:spid="_x0000_s1031" style="position:absolute;left:41203;top:10321;width:16749;height:3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oundrect id="AutoShape 94" o:spid="_x0000_s1032" style="position:absolute;left:1897;top:11154;width:14249;height:83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zM8MA&#10;AADbAAAADwAAAGRycy9kb3ducmV2LnhtbESPQWsCMRSE7wX/Q3hCbzWx2K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zM8MAAADbAAAADwAAAAAAAAAAAAAAAACYAgAAZHJzL2Rv&#10;d25yZXYueG1sUEsFBgAAAAAEAAQA9QAAAIgDAAAAAA==&#10;">
                  <v:textbox>
                    <w:txbxContent>
                      <w:p w:rsidR="005C379B" w:rsidRPr="00FA6893" w:rsidRDefault="005C379B" w:rsidP="005C379B">
                        <w:pPr>
                          <w:jc w:val="center"/>
                          <w:rPr>
                            <w:rFonts w:ascii="Times New Roman" w:hAnsi="Times New Roman"/>
                            <w:sz w:val="20"/>
                            <w:szCs w:val="20"/>
                          </w:rPr>
                        </w:pPr>
                        <w:r w:rsidRPr="00FA6893">
                          <w:rPr>
                            <w:rFonts w:ascii="Times New Roman" w:hAnsi="Times New Roman"/>
                            <w:sz w:val="20"/>
                            <w:szCs w:val="20"/>
                          </w:rPr>
                          <w:t>Система государственных и муниципальных заимствований</w:t>
                        </w:r>
                      </w:p>
                    </w:txbxContent>
                  </v:textbox>
                </v:roundrect>
                <v:rect id="Rectangle 95" o:spid="_x0000_s1033" style="position:absolute;left:2730;top:21723;width:11997;height:6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5C379B" w:rsidRPr="00FA6893" w:rsidRDefault="005C379B" w:rsidP="005C379B">
                        <w:pPr>
                          <w:jc w:val="center"/>
                          <w:rPr>
                            <w:rFonts w:ascii="Times New Roman" w:hAnsi="Times New Roman"/>
                          </w:rPr>
                        </w:pPr>
                        <w:r>
                          <w:rPr>
                            <w:rFonts w:ascii="Times New Roman" w:hAnsi="Times New Roman"/>
                          </w:rPr>
                          <w:t>Внешний долг</w:t>
                        </w:r>
                      </w:p>
                    </w:txbxContent>
                  </v:textbox>
                </v:rect>
                <v:rect id="Rectangle 96" o:spid="_x0000_s1034" style="position:absolute;left:2730;top:30155;width:11997;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5C379B" w:rsidRPr="00FA6893" w:rsidRDefault="005C379B" w:rsidP="005C379B">
                        <w:pPr>
                          <w:jc w:val="center"/>
                          <w:rPr>
                            <w:rFonts w:ascii="Times New Roman" w:hAnsi="Times New Roman"/>
                          </w:rPr>
                        </w:pPr>
                        <w:r w:rsidRPr="00FA6893">
                          <w:rPr>
                            <w:rFonts w:ascii="Times New Roman" w:hAnsi="Times New Roman"/>
                          </w:rPr>
                          <w:t>Внутренний долг</w:t>
                        </w:r>
                      </w:p>
                    </w:txbxContent>
                  </v:textbox>
                </v:rect>
                <v:roundrect id="AutoShape 97" o:spid="_x0000_s1035" style="position:absolute;left:21253;top:11154;width:16270;height:62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RMMA&#10;AADbAAAADwAAAGRycy9kb3ducmV2LnhtbESPQWsCMRSE7wX/Q3hCbzWxYKurUUSo9Fa6evD43Dx3&#10;Fzcva5Jdt/31TaHQ4zAz3zCrzWAb0ZMPtWMN04kCQVw4U3Op4Xh4e5qDCBHZYOOYNHxRgM169LDC&#10;zLg7f1Kfx1IkCIcMNVQxtpmUoajIYpi4ljh5F+ctxiR9KY3He4LbRj4r9SIt1pwWKmxpV1FxzTur&#10;oTCqU/7UfyzOs5h/992N5f6m9eN42C5BRBrif/iv/W40LF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tRMMAAADbAAAADwAAAAAAAAAAAAAAAACYAgAAZHJzL2Rv&#10;d25yZXYueG1sUEsFBgAAAAAEAAQA9QAAAIgDAAAAAA==&#10;">
                  <v:textbox>
                    <w:txbxContent>
                      <w:p w:rsidR="005C379B" w:rsidRPr="00FA6893" w:rsidRDefault="005C379B" w:rsidP="005C379B">
                        <w:pPr>
                          <w:jc w:val="center"/>
                          <w:rPr>
                            <w:rFonts w:ascii="Times New Roman" w:hAnsi="Times New Roman"/>
                          </w:rPr>
                        </w:pPr>
                        <w:r w:rsidRPr="00FA6893">
                          <w:rPr>
                            <w:rFonts w:ascii="Times New Roman" w:hAnsi="Times New Roman"/>
                          </w:rPr>
                          <w:t>Консолидированный бюджет РФ</w:t>
                        </w:r>
                      </w:p>
                    </w:txbxContent>
                  </v:textbox>
                </v:roundrect>
                <v:roundrect id="AutoShape 98" o:spid="_x0000_s1036" style="position:absolute;left:42746;top:11864;width:12829;height:68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NsAA&#10;AADbAAAADwAAAGRycy9kb3ducmV2LnhtbERPz2vCMBS+D/wfwhO8zUTBMTtjGYLibazz4PHZvLVl&#10;zUubpLXbX78cBjt+fL93+WRbMZIPjWMNq6UCQVw603Cl4fJxfHwGESKywdYxafimAPl+9rDDzLg7&#10;v9NYxEqkEA4Zaqhj7DIpQ1mTxbB0HXHiPp23GBP0lTQe7ynctnKt1JO02HBqqLGjQ03lVzFYDaVR&#10;g/LX8W1728TiZxx6lqde68V8en0BEWmK/+I/99lo2Ka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5NsAAAADbAAAADwAAAAAAAAAAAAAAAACYAgAAZHJzL2Rvd25y&#10;ZXYueG1sUEsFBgAAAAAEAAQA9QAAAIUDAAAAAA==&#10;">
                  <v:textbox>
                    <w:txbxContent>
                      <w:p w:rsidR="005C379B" w:rsidRPr="00FA6893" w:rsidRDefault="005C379B" w:rsidP="005C379B">
                        <w:pPr>
                          <w:jc w:val="center"/>
                          <w:rPr>
                            <w:rFonts w:ascii="Times New Roman" w:hAnsi="Times New Roman"/>
                          </w:rPr>
                        </w:pPr>
                        <w:r w:rsidRPr="00FA6893">
                          <w:rPr>
                            <w:rFonts w:ascii="Times New Roman" w:hAnsi="Times New Roman"/>
                          </w:rPr>
                          <w:t>Внебюджетные фонды</w:t>
                        </w:r>
                      </w:p>
                    </w:txbxContent>
                  </v:textbox>
                </v:roundrect>
                <v:rect id="Rectangle 99" o:spid="_x0000_s1037" style="position:absolute;left:20065;top:20890;width:10932;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5C379B" w:rsidRPr="00FA6893" w:rsidRDefault="005C379B" w:rsidP="005C379B">
                        <w:pPr>
                          <w:jc w:val="center"/>
                          <w:rPr>
                            <w:rFonts w:ascii="Times New Roman" w:hAnsi="Times New Roman"/>
                          </w:rPr>
                        </w:pPr>
                        <w:r w:rsidRPr="00FA6893">
                          <w:rPr>
                            <w:rFonts w:ascii="Times New Roman" w:hAnsi="Times New Roman"/>
                          </w:rPr>
                          <w:t>Федеральный бюджет</w:t>
                        </w:r>
                      </w:p>
                    </w:txbxContent>
                  </v:textbox>
                </v:rect>
                <v:rect id="Rectangle 100" o:spid="_x0000_s1038" style="position:absolute;left:20065;top:28133;width:10932;height:5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5C379B" w:rsidRPr="00FA6893" w:rsidRDefault="005C379B" w:rsidP="005C379B">
                        <w:pPr>
                          <w:jc w:val="center"/>
                          <w:rPr>
                            <w:rFonts w:ascii="Times New Roman" w:hAnsi="Times New Roman"/>
                          </w:rPr>
                        </w:pPr>
                        <w:r>
                          <w:rPr>
                            <w:rFonts w:ascii="Times New Roman" w:hAnsi="Times New Roman"/>
                          </w:rPr>
                          <w:t>Региональный бюджет</w:t>
                        </w:r>
                      </w:p>
                    </w:txbxContent>
                  </v:textbox>
                </v:rect>
                <v:rect id="Rectangle 101" o:spid="_x0000_s1039" style="position:absolute;left:20065;top:35501;width:10932;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5C379B" w:rsidRPr="00FA6893" w:rsidRDefault="005C379B" w:rsidP="005C379B">
                        <w:pPr>
                          <w:jc w:val="center"/>
                          <w:rPr>
                            <w:rFonts w:ascii="Times New Roman" w:hAnsi="Times New Roman"/>
                          </w:rPr>
                        </w:pPr>
                        <w:r>
                          <w:rPr>
                            <w:rFonts w:ascii="Times New Roman" w:hAnsi="Times New Roman"/>
                          </w:rPr>
                          <w:t xml:space="preserve">Местный бюджет </w:t>
                        </w:r>
                      </w:p>
                    </w:txbxContent>
                  </v:textbox>
                </v:rect>
                <v:rect id="Rectangle 102" o:spid="_x0000_s1040" style="position:absolute;left:32895;top:20890;width:5701;height:20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5C379B" w:rsidRDefault="005C379B" w:rsidP="005C379B">
                        <w:pPr>
                          <w:jc w:val="center"/>
                          <w:rPr>
                            <w:rFonts w:ascii="Times New Roman" w:hAnsi="Times New Roman"/>
                          </w:rPr>
                        </w:pPr>
                        <w:r w:rsidRPr="00FA6893">
                          <w:rPr>
                            <w:rFonts w:ascii="Times New Roman" w:hAnsi="Times New Roman"/>
                          </w:rPr>
                          <w:t xml:space="preserve">Консолидированный </w:t>
                        </w:r>
                      </w:p>
                      <w:p w:rsidR="005C379B" w:rsidRDefault="005C379B" w:rsidP="005C379B">
                        <w:pPr>
                          <w:jc w:val="center"/>
                          <w:rPr>
                            <w:rFonts w:ascii="Times New Roman" w:hAnsi="Times New Roman"/>
                          </w:rPr>
                        </w:pPr>
                        <w:r w:rsidRPr="00FA6893">
                          <w:rPr>
                            <w:rFonts w:ascii="Times New Roman" w:hAnsi="Times New Roman"/>
                          </w:rPr>
                          <w:t xml:space="preserve">бюджет </w:t>
                        </w:r>
                      </w:p>
                      <w:p w:rsidR="005C379B" w:rsidRPr="00FA6893" w:rsidRDefault="005C379B" w:rsidP="005C379B">
                        <w:pPr>
                          <w:jc w:val="center"/>
                          <w:rPr>
                            <w:rFonts w:ascii="Times New Roman" w:hAnsi="Times New Roman"/>
                          </w:rPr>
                        </w:pPr>
                        <w:r w:rsidRPr="00FA6893">
                          <w:rPr>
                            <w:rFonts w:ascii="Times New Roman" w:hAnsi="Times New Roman"/>
                          </w:rPr>
                          <w:t>территорий</w:t>
                        </w:r>
                      </w:p>
                    </w:txbxContent>
                  </v:textbox>
                </v:rect>
                <v:rect id="Rectangle 103" o:spid="_x0000_s1041" style="position:absolute;left:20065;top:43933;width:8556;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5C379B" w:rsidRPr="00FA6893" w:rsidRDefault="005C379B" w:rsidP="005C379B">
                        <w:pPr>
                          <w:rPr>
                            <w:rFonts w:ascii="Times New Roman" w:hAnsi="Times New Roman"/>
                          </w:rPr>
                        </w:pPr>
                        <w:r w:rsidRPr="00FA6893">
                          <w:rPr>
                            <w:rFonts w:ascii="Times New Roman" w:hAnsi="Times New Roman"/>
                          </w:rPr>
                          <w:t>Бюджет городских округов</w:t>
                        </w:r>
                      </w:p>
                    </w:txbxContent>
                  </v:textbox>
                </v:rect>
                <v:rect id="Rectangle 104" o:spid="_x0000_s1042" style="position:absolute;left:29809;top:43933;width:8787;height:7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5C379B" w:rsidRPr="00FA6893" w:rsidRDefault="005C379B" w:rsidP="005C379B">
                        <w:pPr>
                          <w:rPr>
                            <w:rFonts w:ascii="Times New Roman" w:hAnsi="Times New Roman"/>
                          </w:rPr>
                        </w:pPr>
                        <w:r w:rsidRPr="00FA6893">
                          <w:rPr>
                            <w:rFonts w:ascii="Times New Roman" w:hAnsi="Times New Roman"/>
                          </w:rPr>
                          <w:t>Поселковый бюджет</w:t>
                        </w:r>
                      </w:p>
                    </w:txbxContent>
                  </v:textbox>
                </v:rect>
                <v:shapetype id="_x0000_t32" coordsize="21600,21600" o:spt="32" o:oned="t" path="m,l21600,21600e" filled="f">
                  <v:path arrowok="t" fillok="f" o:connecttype="none"/>
                  <o:lock v:ext="edit" shapetype="t"/>
                </v:shapetype>
                <v:shape id="AutoShape 105" o:spid="_x0000_s1043" type="#_x0000_t32" style="position:absolute;left:30997;top:38471;width:3201;height:54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sz8IAAADcAAAADwAAAGRycy9kb3ducmV2LnhtbERPTYvCMBC9C/6HMIIXWVMFF+kapSiC&#10;COJahV6HZrbt2kxKE7X+e7Ow4G0e73MWq87U4k6tqywrmIwjEMS51RUXCi7n7ccchPPIGmvLpOBJ&#10;DlbLfm+BsbYPPtE99YUIIexiVFB638RSurwkg25sG+LA/djWoA+wLaRu8RHCTS2nUfQpDVYcGkps&#10;aF1Sfk1vRoE/jPaz39PxmKTMm+R7n12TdabUcNAlXyA8df4t/nfvdJgfzeDvmXCB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sz8IAAADcAAAADwAAAAAAAAAAAAAA&#10;AAChAgAAZHJzL2Rvd25yZXYueG1sUEsFBgAAAAAEAAQA+QAAAJADAAAAAA==&#10;"/>
                <v:shape id="AutoShape 106" o:spid="_x0000_s1044" type="#_x0000_t32" style="position:absolute;left:24347;top:41433;width:1188;height:25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R8EAAADcAAAADwAAAGRycy9kb3ducmV2LnhtbERPTYvCMBC9C/sfwizsRTTtHkSqUURY&#10;EA8Lag8eh2Rsi82kJtla//1GELzN433Ocj3YVvTkQ+NYQT7NQBBrZxquFJSnn8kcRIjIBlvHpOBB&#10;Adarj9ESC+PufKD+GCuRQjgUqKCOsSukDLomi2HqOuLEXZy3GBP0lTQe7ynctvI7y2bSYsOpocaO&#10;tjXp6/HPKmj25W/Zj2/R6/k+P/s8nM6tVurrc9gsQEQa4lv8cu9Mmp/N4P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D9HwQAAANwAAAAPAAAAAAAAAAAAAAAA&#10;AKECAABkcnMvZG93bnJldi54bWxQSwUGAAAAAAQABAD5AAAAjwMAAAAA&#10;"/>
                <v:shape id="AutoShape 107" o:spid="_x0000_s1045" type="#_x0000_t32" style="position:absolute;left:30997;top:30691;width:1898;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108" o:spid="_x0000_s1046" type="#_x0000_t32" style="position:absolute;left:30997;top:31161;width:1898;height:73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rect id="Rectangle 109" o:spid="_x0000_s1047" style="position:absolute;left:42746;top:20890;width:7244;height:5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5C379B" w:rsidRPr="00EF23D4" w:rsidRDefault="005C379B" w:rsidP="005C379B">
                        <w:pPr>
                          <w:jc w:val="center"/>
                          <w:rPr>
                            <w:rFonts w:ascii="Times New Roman" w:hAnsi="Times New Roman"/>
                          </w:rPr>
                        </w:pPr>
                        <w:r w:rsidRPr="00EF23D4">
                          <w:rPr>
                            <w:rFonts w:ascii="Times New Roman" w:hAnsi="Times New Roman"/>
                          </w:rPr>
                          <w:t>ПФ РФ</w:t>
                        </w:r>
                      </w:p>
                    </w:txbxContent>
                  </v:textbox>
                </v:rect>
                <v:rect id="Rectangle 110" o:spid="_x0000_s1048" style="position:absolute;left:42746;top:28133;width:7244;height:5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5C379B" w:rsidRPr="00EF23D4" w:rsidRDefault="005C379B" w:rsidP="005C379B">
                        <w:pPr>
                          <w:jc w:val="center"/>
                          <w:rPr>
                            <w:rFonts w:ascii="Times New Roman" w:hAnsi="Times New Roman"/>
                          </w:rPr>
                        </w:pPr>
                        <w:r w:rsidRPr="00EF23D4">
                          <w:rPr>
                            <w:rFonts w:ascii="Times New Roman" w:hAnsi="Times New Roman"/>
                          </w:rPr>
                          <w:t>ФСС России</w:t>
                        </w:r>
                      </w:p>
                    </w:txbxContent>
                  </v:textbox>
                </v:rect>
                <v:rect id="Rectangle 111" o:spid="_x0000_s1049" style="position:absolute;left:42746;top:35501;width:7244;height:4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5C379B" w:rsidRPr="00EF23D4" w:rsidRDefault="005C379B" w:rsidP="005C379B">
                        <w:pPr>
                          <w:jc w:val="center"/>
                          <w:rPr>
                            <w:rFonts w:ascii="Times New Roman" w:hAnsi="Times New Roman"/>
                          </w:rPr>
                        </w:pPr>
                        <w:r w:rsidRPr="00EF23D4">
                          <w:rPr>
                            <w:rFonts w:ascii="Times New Roman" w:hAnsi="Times New Roman"/>
                          </w:rPr>
                          <w:t>ФОМС</w:t>
                        </w:r>
                      </w:p>
                    </w:txbxContent>
                  </v:textbox>
                </v:rect>
                <v:rect id="Rectangle 112" o:spid="_x0000_s1050" style="position:absolute;left:52250;top:20890;width:4390;height:1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5C379B" w:rsidRPr="00EF23D4" w:rsidRDefault="005C379B" w:rsidP="005C379B">
                        <w:pPr>
                          <w:jc w:val="center"/>
                          <w:rPr>
                            <w:rFonts w:ascii="Times New Roman" w:hAnsi="Times New Roman"/>
                          </w:rPr>
                        </w:pPr>
                        <w:r w:rsidRPr="00EF23D4">
                          <w:rPr>
                            <w:rFonts w:ascii="Times New Roman" w:hAnsi="Times New Roman"/>
                          </w:rPr>
                          <w:t>Федеральные и региональные</w:t>
                        </w:r>
                      </w:p>
                    </w:txbxContent>
                  </v:textbox>
                </v:rect>
                <w10:anchorlock/>
              </v:group>
            </w:pict>
          </mc:Fallback>
        </mc:AlternateContent>
      </w:r>
    </w:p>
    <w:p w:rsidR="005C379B" w:rsidRPr="005C379B" w:rsidRDefault="005C379B" w:rsidP="005C379B">
      <w:pPr>
        <w:spacing w:after="0" w:line="240" w:lineRule="auto"/>
        <w:rPr>
          <w:rFonts w:ascii="Times New Roman" w:eastAsia="Calibri" w:hAnsi="Times New Roman" w:cs="Times New Roman"/>
        </w:rPr>
      </w:pPr>
    </w:p>
    <w:p w:rsidR="005C379B" w:rsidRPr="005C379B" w:rsidRDefault="005C379B" w:rsidP="005C379B">
      <w:pPr>
        <w:spacing w:after="0" w:line="240" w:lineRule="auto"/>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Рисунок 1.1. Структура государственных и муниципальных финансов</w:t>
      </w:r>
    </w:p>
    <w:p w:rsidR="005C379B" w:rsidRPr="005C379B" w:rsidRDefault="005C379B" w:rsidP="005C379B">
      <w:pPr>
        <w:spacing w:after="0" w:line="240" w:lineRule="auto"/>
        <w:jc w:val="center"/>
        <w:rPr>
          <w:rFonts w:ascii="Times New Roman" w:eastAsia="Calibri" w:hAnsi="Times New Roman" w:cs="Times New Roman"/>
          <w:sz w:val="28"/>
          <w:szCs w:val="28"/>
        </w:rPr>
      </w:pPr>
    </w:p>
    <w:p w:rsidR="005C379B" w:rsidRPr="005C379B" w:rsidRDefault="005C379B" w:rsidP="005C379B">
      <w:pPr>
        <w:spacing w:after="0" w:line="240" w:lineRule="auto"/>
        <w:jc w:val="center"/>
        <w:rPr>
          <w:rFonts w:ascii="Times New Roman" w:eastAsia="Calibri" w:hAnsi="Times New Roman" w:cs="Times New Roman"/>
          <w:sz w:val="28"/>
          <w:szCs w:val="28"/>
        </w:rPr>
      </w:pP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sz w:val="24"/>
          <w:szCs w:val="24"/>
        </w:rPr>
      </w:pPr>
    </w:p>
    <w:p w:rsidR="005C379B" w:rsidRPr="005C379B" w:rsidRDefault="005C379B" w:rsidP="005C379B">
      <w:pPr>
        <w:widowControl w:val="0"/>
        <w:jc w:val="center"/>
        <w:rPr>
          <w:rFonts w:ascii="Calibri" w:eastAsia="Calibri" w:hAnsi="Calibri" w:cs="Times New Roman"/>
        </w:rPr>
      </w:pPr>
      <w:r>
        <w:rPr>
          <w:rFonts w:ascii="Calibri" w:eastAsia="Calibri" w:hAnsi="Calibri" w:cs="Times New Roman"/>
          <w:noProof/>
          <w:lang w:eastAsia="ru-RU"/>
        </w:rPr>
        <w:lastRenderedPageBreak/>
        <mc:AlternateContent>
          <mc:Choice Requires="wpc">
            <w:drawing>
              <wp:inline distT="0" distB="0" distL="0" distR="0">
                <wp:extent cx="5940425" cy="7496175"/>
                <wp:effectExtent l="3810" t="0" r="0" b="3810"/>
                <wp:docPr id="89" name="Полотно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 name="Rectangle 75"/>
                        <wps:cNvSpPr>
                          <a:spLocks noChangeArrowheads="1"/>
                        </wps:cNvSpPr>
                        <wps:spPr bwMode="auto">
                          <a:xfrm>
                            <a:off x="1839882" y="2159565"/>
                            <a:ext cx="1896811" cy="791373"/>
                          </a:xfrm>
                          <a:prstGeom prst="rect">
                            <a:avLst/>
                          </a:prstGeom>
                          <a:solidFill>
                            <a:srgbClr val="FFFFFF"/>
                          </a:solidFill>
                          <a:ln w="9525">
                            <a:solidFill>
                              <a:srgbClr val="000000"/>
                            </a:solidFill>
                            <a:miter lim="800000"/>
                            <a:headEnd/>
                            <a:tailEnd/>
                          </a:ln>
                        </wps:spPr>
                        <wps:txbx>
                          <w:txbxContent>
                            <w:p w:rsidR="005C379B" w:rsidRDefault="005C379B" w:rsidP="005C379B">
                              <w:pPr>
                                <w:jc w:val="center"/>
                              </w:pPr>
                              <w:r>
                                <w:t>Состав финансов субъектов РФ</w:t>
                              </w:r>
                            </w:p>
                          </w:txbxContent>
                        </wps:txbx>
                        <wps:bodyPr rot="0" vert="horz" wrap="square" lIns="91440" tIns="45720" rIns="91440" bIns="45720" anchor="t" anchorCtr="0" upright="1">
                          <a:noAutofit/>
                        </wps:bodyPr>
                      </wps:wsp>
                      <wps:wsp>
                        <wps:cNvPr id="77" name="Rectangle 76"/>
                        <wps:cNvSpPr>
                          <a:spLocks noChangeArrowheads="1"/>
                        </wps:cNvSpPr>
                        <wps:spPr bwMode="auto">
                          <a:xfrm>
                            <a:off x="229366" y="303676"/>
                            <a:ext cx="1787903" cy="1515079"/>
                          </a:xfrm>
                          <a:prstGeom prst="rect">
                            <a:avLst/>
                          </a:prstGeom>
                          <a:solidFill>
                            <a:srgbClr val="FFFFFF"/>
                          </a:solidFill>
                          <a:ln w="9525">
                            <a:solidFill>
                              <a:srgbClr val="000000"/>
                            </a:solidFill>
                            <a:miter lim="800000"/>
                            <a:headEnd/>
                            <a:tailEnd/>
                          </a:ln>
                        </wps:spPr>
                        <wps:txbx>
                          <w:txbxContent>
                            <w:p w:rsidR="005C379B" w:rsidRDefault="005C379B" w:rsidP="005C379B">
                              <w:pPr>
                                <w:jc w:val="both"/>
                              </w:pPr>
                              <w:r>
                                <w:t>средства консолидированного бюджета субъекта РФ</w:t>
                              </w:r>
                            </w:p>
                          </w:txbxContent>
                        </wps:txbx>
                        <wps:bodyPr rot="0" vert="horz" wrap="square" lIns="91440" tIns="45720" rIns="91440" bIns="45720" anchor="t" anchorCtr="0" upright="1">
                          <a:noAutofit/>
                        </wps:bodyPr>
                      </wps:wsp>
                      <wps:wsp>
                        <wps:cNvPr id="78" name="Rectangle 77"/>
                        <wps:cNvSpPr>
                          <a:spLocks noChangeArrowheads="1"/>
                        </wps:cNvSpPr>
                        <wps:spPr bwMode="auto">
                          <a:xfrm>
                            <a:off x="2290364" y="303676"/>
                            <a:ext cx="1514808" cy="1515079"/>
                          </a:xfrm>
                          <a:prstGeom prst="rect">
                            <a:avLst/>
                          </a:prstGeom>
                          <a:solidFill>
                            <a:srgbClr val="FFFFFF"/>
                          </a:solidFill>
                          <a:ln w="9525">
                            <a:solidFill>
                              <a:srgbClr val="000000"/>
                            </a:solidFill>
                            <a:miter lim="800000"/>
                            <a:headEnd/>
                            <a:tailEnd/>
                          </a:ln>
                        </wps:spPr>
                        <wps:txbx>
                          <w:txbxContent>
                            <w:p w:rsidR="005C379B" w:rsidRDefault="005C379B" w:rsidP="005C379B">
                              <w:pPr>
                                <w:jc w:val="center"/>
                              </w:pPr>
                              <w:r>
                                <w:t>средства собственного бюджета субъекта РФ</w:t>
                              </w:r>
                            </w:p>
                          </w:txbxContent>
                        </wps:txbx>
                        <wps:bodyPr rot="0" vert="horz" wrap="square" lIns="91440" tIns="45720" rIns="91440" bIns="45720" anchor="t" anchorCtr="0" upright="1">
                          <a:noAutofit/>
                        </wps:bodyPr>
                      </wps:wsp>
                      <wps:wsp>
                        <wps:cNvPr id="79" name="Rectangle 78"/>
                        <wps:cNvSpPr>
                          <a:spLocks noChangeArrowheads="1"/>
                        </wps:cNvSpPr>
                        <wps:spPr bwMode="auto">
                          <a:xfrm>
                            <a:off x="3928106" y="303676"/>
                            <a:ext cx="1801104" cy="1938410"/>
                          </a:xfrm>
                          <a:prstGeom prst="rect">
                            <a:avLst/>
                          </a:prstGeom>
                          <a:solidFill>
                            <a:srgbClr val="FFFFFF"/>
                          </a:solidFill>
                          <a:ln w="9525">
                            <a:solidFill>
                              <a:srgbClr val="000000"/>
                            </a:solidFill>
                            <a:miter lim="800000"/>
                            <a:headEnd/>
                            <a:tailEnd/>
                          </a:ln>
                        </wps:spPr>
                        <wps:txbx>
                          <w:txbxContent>
                            <w:p w:rsidR="005C379B" w:rsidRDefault="005C379B" w:rsidP="005C379B">
                              <w:pPr>
                                <w:jc w:val="center"/>
                              </w:pPr>
                              <w:r>
                                <w:t>средства территориальных подразделений государственных внебюджетных фондов, расположенных на территории субъекта РФ</w:t>
                              </w:r>
                            </w:p>
                          </w:txbxContent>
                        </wps:txbx>
                        <wps:bodyPr rot="0" vert="horz" wrap="square" lIns="91440" tIns="45720" rIns="91440" bIns="45720" anchor="t" anchorCtr="0" upright="1">
                          <a:noAutofit/>
                        </wps:bodyPr>
                      </wps:wsp>
                      <wps:wsp>
                        <wps:cNvPr id="80" name="Rectangle 79"/>
                        <wps:cNvSpPr>
                          <a:spLocks noChangeArrowheads="1"/>
                        </wps:cNvSpPr>
                        <wps:spPr bwMode="auto">
                          <a:xfrm>
                            <a:off x="325073" y="3059865"/>
                            <a:ext cx="1692196" cy="2620856"/>
                          </a:xfrm>
                          <a:prstGeom prst="rect">
                            <a:avLst/>
                          </a:prstGeom>
                          <a:solidFill>
                            <a:srgbClr val="FFFFFF"/>
                          </a:solidFill>
                          <a:ln w="9525">
                            <a:solidFill>
                              <a:srgbClr val="000000"/>
                            </a:solidFill>
                            <a:miter lim="800000"/>
                            <a:headEnd/>
                            <a:tailEnd/>
                          </a:ln>
                        </wps:spPr>
                        <wps:txbx>
                          <w:txbxContent>
                            <w:p w:rsidR="005C379B" w:rsidRDefault="005C379B" w:rsidP="005C379B">
                              <w:pPr>
                                <w:jc w:val="both"/>
                              </w:pPr>
                              <w:r>
                                <w:t>средства, полученные от размещения на рынках государственных ценных бумаг, эмитентами которых является правительство субъекта РФ</w:t>
                              </w:r>
                            </w:p>
                          </w:txbxContent>
                        </wps:txbx>
                        <wps:bodyPr rot="0" vert="horz" wrap="square" lIns="91440" tIns="45720" rIns="91440" bIns="45720" anchor="t" anchorCtr="0" upright="1">
                          <a:noAutofit/>
                        </wps:bodyPr>
                      </wps:wsp>
                      <wps:wsp>
                        <wps:cNvPr id="81" name="Rectangle 80"/>
                        <wps:cNvSpPr>
                          <a:spLocks noChangeArrowheads="1"/>
                        </wps:cNvSpPr>
                        <wps:spPr bwMode="auto">
                          <a:xfrm>
                            <a:off x="2290364" y="3059865"/>
                            <a:ext cx="1746650" cy="4081471"/>
                          </a:xfrm>
                          <a:prstGeom prst="rect">
                            <a:avLst/>
                          </a:prstGeom>
                          <a:solidFill>
                            <a:srgbClr val="FFFFFF"/>
                          </a:solidFill>
                          <a:ln w="9525">
                            <a:solidFill>
                              <a:srgbClr val="000000"/>
                            </a:solidFill>
                            <a:miter lim="800000"/>
                            <a:headEnd/>
                            <a:tailEnd/>
                          </a:ln>
                        </wps:spPr>
                        <wps:txbx>
                          <w:txbxContent>
                            <w:p w:rsidR="005C379B" w:rsidRDefault="005C379B" w:rsidP="005C379B">
                              <w:pPr>
                                <w:jc w:val="both"/>
                              </w:pPr>
                              <w:r>
                                <w:t>средства, получаемые за счет купли-продажи государственных пакетов акций; государственных унитарных предприятий, чьими собственниками является правительство субъекта РФ и которые могут передаваться в доверительное управление наемному менеджменту этих предприятий</w:t>
                              </w:r>
                            </w:p>
                          </w:txbxContent>
                        </wps:txbx>
                        <wps:bodyPr rot="0" vert="horz" wrap="square" lIns="91440" tIns="45720" rIns="91440" bIns="45720" anchor="t" anchorCtr="0" upright="1">
                          <a:noAutofit/>
                        </wps:bodyPr>
                      </wps:wsp>
                      <wps:wsp>
                        <wps:cNvPr id="82" name="Rectangle 81"/>
                        <wps:cNvSpPr>
                          <a:spLocks noChangeArrowheads="1"/>
                        </wps:cNvSpPr>
                        <wps:spPr bwMode="auto">
                          <a:xfrm>
                            <a:off x="4201201" y="3059865"/>
                            <a:ext cx="1596489" cy="2620856"/>
                          </a:xfrm>
                          <a:prstGeom prst="rect">
                            <a:avLst/>
                          </a:prstGeom>
                          <a:solidFill>
                            <a:srgbClr val="FFFFFF"/>
                          </a:solidFill>
                          <a:ln w="9525">
                            <a:solidFill>
                              <a:srgbClr val="000000"/>
                            </a:solidFill>
                            <a:miter lim="800000"/>
                            <a:headEnd/>
                            <a:tailEnd/>
                          </a:ln>
                        </wps:spPr>
                        <wps:txbx>
                          <w:txbxContent>
                            <w:p w:rsidR="005C379B" w:rsidRDefault="005C379B" w:rsidP="005C379B">
                              <w:pPr>
                                <w:jc w:val="center"/>
                              </w:pPr>
                              <w:r>
                                <w:t>часть прибыли, получаемой в результате хозяйственной деятельности субфедеральных государственных унитарных предприятий</w:t>
                              </w:r>
                            </w:p>
                          </w:txbxContent>
                        </wps:txbx>
                        <wps:bodyPr rot="0" vert="horz" wrap="square" lIns="91440" tIns="45720" rIns="91440" bIns="45720" anchor="t" anchorCtr="0" upright="1">
                          <a:noAutofit/>
                        </wps:bodyPr>
                      </wps:wsp>
                      <wps:wsp>
                        <wps:cNvPr id="83" name="AutoShape 82"/>
                        <wps:cNvCnPr>
                          <a:cxnSpLocks noChangeShapeType="1"/>
                          <a:stCxn id="77" idx="2"/>
                          <a:endCxn id="76" idx="1"/>
                        </wps:cNvCnPr>
                        <wps:spPr bwMode="auto">
                          <a:xfrm>
                            <a:off x="1122905" y="1818755"/>
                            <a:ext cx="716976" cy="7360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83"/>
                        <wps:cNvCnPr>
                          <a:cxnSpLocks noChangeShapeType="1"/>
                          <a:stCxn id="78" idx="2"/>
                          <a:endCxn id="76" idx="0"/>
                        </wps:cNvCnPr>
                        <wps:spPr bwMode="auto">
                          <a:xfrm flipH="1">
                            <a:off x="2787874" y="1818755"/>
                            <a:ext cx="259894" cy="340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84"/>
                        <wps:cNvCnPr>
                          <a:cxnSpLocks noChangeShapeType="1"/>
                          <a:stCxn id="79" idx="2"/>
                          <a:endCxn id="76" idx="3"/>
                        </wps:cNvCnPr>
                        <wps:spPr bwMode="auto">
                          <a:xfrm flipH="1">
                            <a:off x="3736692" y="2242086"/>
                            <a:ext cx="1091553" cy="3127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85"/>
                        <wps:cNvCnPr>
                          <a:cxnSpLocks noChangeShapeType="1"/>
                          <a:stCxn id="80" idx="0"/>
                          <a:endCxn id="76" idx="1"/>
                        </wps:cNvCnPr>
                        <wps:spPr bwMode="auto">
                          <a:xfrm flipV="1">
                            <a:off x="1171584" y="2554839"/>
                            <a:ext cx="668298" cy="5050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86"/>
                        <wps:cNvCnPr>
                          <a:cxnSpLocks noChangeShapeType="1"/>
                          <a:stCxn id="81" idx="0"/>
                          <a:endCxn id="76" idx="2"/>
                        </wps:cNvCnPr>
                        <wps:spPr bwMode="auto">
                          <a:xfrm flipH="1" flipV="1">
                            <a:off x="2787874" y="2950938"/>
                            <a:ext cx="376227" cy="1089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87"/>
                        <wps:cNvCnPr>
                          <a:cxnSpLocks noChangeShapeType="1"/>
                          <a:stCxn id="82" idx="0"/>
                          <a:endCxn id="76" idx="3"/>
                        </wps:cNvCnPr>
                        <wps:spPr bwMode="auto">
                          <a:xfrm flipH="1" flipV="1">
                            <a:off x="3736692" y="2554839"/>
                            <a:ext cx="1262340" cy="5050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9" o:spid="_x0000_s1051" editas="canvas" style="width:467.75pt;height:590.25pt;mso-position-horizontal-relative:char;mso-position-vertical-relative:line" coordsize="59404,7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">
                <v:shape id="_x0000_s1052" type="#_x0000_t75" style="position:absolute;width:59404;height:74961;visibility:visible;mso-wrap-style:square">
                  <v:fill o:detectmouseclick="t"/>
                  <v:path o:connecttype="none"/>
                </v:shape>
                <v:rect id="Rectangle 75" o:spid="_x0000_s1053" style="position:absolute;left:18398;top:21595;width:18968;height:7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5C379B" w:rsidRDefault="005C379B" w:rsidP="005C379B">
                        <w:pPr>
                          <w:jc w:val="center"/>
                        </w:pPr>
                        <w:r>
                          <w:t>Состав финансов субъектов РФ</w:t>
                        </w:r>
                      </w:p>
                    </w:txbxContent>
                  </v:textbox>
                </v:rect>
                <v:rect id="Rectangle 76" o:spid="_x0000_s1054" style="position:absolute;left:2293;top:3036;width:17879;height:1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5C379B" w:rsidRDefault="005C379B" w:rsidP="005C379B">
                        <w:pPr>
                          <w:jc w:val="both"/>
                        </w:pPr>
                        <w:r>
                          <w:t>средства консолидированного бюджета субъекта РФ</w:t>
                        </w:r>
                      </w:p>
                    </w:txbxContent>
                  </v:textbox>
                </v:rect>
                <v:rect id="Rectangle 77" o:spid="_x0000_s1055" style="position:absolute;left:22903;top:3036;width:15148;height:1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textbox>
                    <w:txbxContent>
                      <w:p w:rsidR="005C379B" w:rsidRDefault="005C379B" w:rsidP="005C379B">
                        <w:pPr>
                          <w:jc w:val="center"/>
                        </w:pPr>
                        <w:r>
                          <w:t>средства собственного бюджета субъекта РФ</w:t>
                        </w:r>
                      </w:p>
                    </w:txbxContent>
                  </v:textbox>
                </v:rect>
                <v:rect id="Rectangle 78" o:spid="_x0000_s1056" style="position:absolute;left:39281;top:3036;width:18011;height:19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5C379B" w:rsidRDefault="005C379B" w:rsidP="005C379B">
                        <w:pPr>
                          <w:jc w:val="center"/>
                        </w:pPr>
                        <w:r>
                          <w:t>средства территориальных подразделений государственных внебюджетных фондов, расположенных на территории субъекта РФ</w:t>
                        </w:r>
                      </w:p>
                    </w:txbxContent>
                  </v:textbox>
                </v:rect>
                <v:rect id="Rectangle 79" o:spid="_x0000_s1057" style="position:absolute;left:3250;top:30598;width:16922;height:26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5C379B" w:rsidRDefault="005C379B" w:rsidP="005C379B">
                        <w:pPr>
                          <w:jc w:val="both"/>
                        </w:pPr>
                        <w:r>
                          <w:t>средства, полученные от размещения на рынках государственных ценных бумаг, эмитентами которых является правительство субъекта РФ</w:t>
                        </w:r>
                      </w:p>
                    </w:txbxContent>
                  </v:textbox>
                </v:rect>
                <v:rect id="Rectangle 80" o:spid="_x0000_s1058" style="position:absolute;left:22903;top:30598;width:17467;height:40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5C379B" w:rsidRDefault="005C379B" w:rsidP="005C379B">
                        <w:pPr>
                          <w:jc w:val="both"/>
                        </w:pPr>
                        <w:r>
                          <w:t>средства, получаемые за счет купли-продажи государственных пакетов акций; государственных унитарных предприятий, чьими собственниками является правительство субъекта РФ и которые могут передаваться в доверительное управление наемному менеджменту этих предприятий</w:t>
                        </w:r>
                      </w:p>
                    </w:txbxContent>
                  </v:textbox>
                </v:rect>
                <v:rect id="Rectangle 81" o:spid="_x0000_s1059" style="position:absolute;left:42012;top:30598;width:15964;height:26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5C379B" w:rsidRDefault="005C379B" w:rsidP="005C379B">
                        <w:pPr>
                          <w:jc w:val="center"/>
                        </w:pPr>
                        <w:r>
                          <w:t>часть прибыли, получаемой в результате хозяйственной деятельности субфедеральных государственных унитарных предприятий</w:t>
                        </w:r>
                      </w:p>
                    </w:txbxContent>
                  </v:textbox>
                </v:rect>
                <v:shape id="AutoShape 82" o:spid="_x0000_s1060" type="#_x0000_t32" style="position:absolute;left:11229;top:18187;width:7169;height:7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AutoShape 83" o:spid="_x0000_s1061" type="#_x0000_t32" style="position:absolute;left:27878;top:18187;width:2599;height:34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AutoShape 84" o:spid="_x0000_s1062" type="#_x0000_t32" style="position:absolute;left:37366;top:22420;width:10916;height:3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AutoShape 85" o:spid="_x0000_s1063" type="#_x0000_t32" style="position:absolute;left:11715;top:25548;width:6683;height:50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86" o:spid="_x0000_s1064" type="#_x0000_t32" style="position:absolute;left:27878;top:29509;width:3763;height:10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OYsMAAADbAAAADwAAAGRycy9kb3ducmV2LnhtbESPT2vCQBTE74V+h+UVvNVNQ7A2dZXS&#10;UhDx4p+Dx0f2uQlm34bsq8Zv7wpCj8PM/IaZLQbfqjP1sQls4G2cgSKugm3YGdjvfl+noKIgW2wD&#10;k4ErRVjMn59mWNpw4Q2dt+JUgnAs0UAt0pVax6omj3EcOuLkHUPvUZLsnbY9XhLctzrPson22HBa&#10;qLGj75qq0/bPGzjs/fojL368K9xONkKrJi8mxoxehq9PUEKD/Icf7aU1MH2H+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qDmLDAAAA2wAAAA8AAAAAAAAAAAAA&#10;AAAAoQIAAGRycy9kb3ducmV2LnhtbFBLBQYAAAAABAAEAPkAAACRAwAAAAA=&#10;">
                  <v:stroke endarrow="block"/>
                </v:shape>
                <v:shape id="AutoShape 87" o:spid="_x0000_s1065" type="#_x0000_t32" style="position:absolute;left:37366;top:25548;width:12624;height:50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aEL8AAADbAAAADwAAAGRycy9kb3ducmV2LnhtbERPS2vCQBC+C/6HZQRvumkIotFVilKQ&#10;0ouPg8chO92EZmdDdqrx37uHQo8f33uzG3yr7tTHJrCBt3kGirgKtmFn4Hr5mC1BRUG22AYmA0+K&#10;sNuORxssbXjwie5ncSqFcCzRQC3SlVrHqiaPcR464sR9h96jJNg7bXt8pHDf6jzLFtpjw6mhxo72&#10;NVU/519v4Hb1X6u8OHhXuIuchD6bvFgYM50M72tQQoP8i//cR2tgmcamL+kH6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WaEL8AAADbAAAADwAAAAAAAAAAAAAAAACh&#10;AgAAZHJzL2Rvd25yZXYueG1sUEsFBgAAAAAEAAQA+QAAAI0DAAAAAA==&#10;">
                  <v:stroke endarrow="block"/>
                </v:shape>
                <w10:anchorlock/>
              </v:group>
            </w:pict>
          </mc:Fallback>
        </mc:AlternateContent>
      </w:r>
    </w:p>
    <w:p w:rsidR="005C379B" w:rsidRPr="005C379B" w:rsidRDefault="005C379B" w:rsidP="005C379B">
      <w:pPr>
        <w:widowControl w:val="0"/>
        <w:jc w:val="center"/>
        <w:rPr>
          <w:rFonts w:ascii="Calibri" w:eastAsia="Calibri" w:hAnsi="Calibri" w:cs="Times New Roman"/>
        </w:rPr>
      </w:pPr>
      <w:r w:rsidRPr="005C379B">
        <w:rPr>
          <w:rFonts w:ascii="Calibri" w:eastAsia="Calibri" w:hAnsi="Calibri" w:cs="Times New Roman"/>
        </w:rPr>
        <w:t>Рисунок 1.2  Состав финансов субъектов РФ</w:t>
      </w:r>
    </w:p>
    <w:p w:rsidR="005C379B" w:rsidRPr="005C379B" w:rsidRDefault="005C379B" w:rsidP="005C379B">
      <w:pPr>
        <w:spacing w:after="0" w:line="240" w:lineRule="auto"/>
        <w:rPr>
          <w:rFonts w:ascii="Times New Roman" w:eastAsia="Times New Roman" w:hAnsi="Times New Roman" w:cs="Times New Roman"/>
          <w:sz w:val="24"/>
          <w:szCs w:val="24"/>
          <w:lang w:eastAsia="ru-RU"/>
        </w:rPr>
      </w:pPr>
      <w:r w:rsidRPr="005C379B">
        <w:rPr>
          <w:rFonts w:ascii="Times New Roman" w:eastAsia="Times New Roman" w:hAnsi="Times New Roman" w:cs="Times New Roman"/>
          <w:sz w:val="24"/>
          <w:szCs w:val="24"/>
          <w:lang w:eastAsia="ru-RU"/>
        </w:rPr>
        <w:br/>
        <w:t> </w:t>
      </w:r>
    </w:p>
    <w:p w:rsidR="005C379B" w:rsidRPr="005C379B" w:rsidRDefault="005C379B" w:rsidP="005C379B">
      <w:pPr>
        <w:spacing w:after="0" w:line="240" w:lineRule="auto"/>
        <w:jc w:val="center"/>
        <w:rPr>
          <w:rFonts w:ascii="Times New Roman" w:eastAsia="Times New Roman" w:hAnsi="Times New Roman" w:cs="Times New Roman"/>
          <w:sz w:val="24"/>
          <w:szCs w:val="24"/>
          <w:lang w:eastAsia="ru-RU"/>
        </w:rPr>
      </w:pPr>
      <w:r w:rsidRPr="005C379B">
        <w:rPr>
          <w:rFonts w:ascii="Times New Roman" w:eastAsia="Times New Roman" w:hAnsi="Times New Roman" w:cs="Times New Roman"/>
          <w:noProof/>
          <w:sz w:val="24"/>
          <w:szCs w:val="24"/>
          <w:lang w:eastAsia="ru-RU"/>
        </w:rPr>
        <w:lastRenderedPageBreak/>
        <w:drawing>
          <wp:inline distT="0" distB="0" distL="0" distR="0" wp14:anchorId="1A8688CD" wp14:editId="363ACEB4">
            <wp:extent cx="5762676" cy="3925614"/>
            <wp:effectExtent l="19050" t="0" r="9474" b="0"/>
            <wp:docPr id="1" name="Рисунок 1" descr="http://thelib.ru/books/00/17/16/00171688/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helib.ru/books/00/17/16/00171688/i_019.jpg"/>
                    <pic:cNvPicPr>
                      <a:picLocks noChangeAspect="1" noChangeArrowheads="1"/>
                    </pic:cNvPicPr>
                  </pic:nvPicPr>
                  <pic:blipFill>
                    <a:blip r:embed="rId6" cstate="print"/>
                    <a:srcRect/>
                    <a:stretch>
                      <a:fillRect/>
                    </a:stretch>
                  </pic:blipFill>
                  <pic:spPr bwMode="auto">
                    <a:xfrm>
                      <a:off x="0" y="0"/>
                      <a:ext cx="5764894" cy="3927125"/>
                    </a:xfrm>
                    <a:prstGeom prst="rect">
                      <a:avLst/>
                    </a:prstGeom>
                    <a:noFill/>
                    <a:ln w="9525">
                      <a:noFill/>
                      <a:miter lim="800000"/>
                      <a:headEnd/>
                      <a:tailEnd/>
                    </a:ln>
                  </pic:spPr>
                </pic:pic>
              </a:graphicData>
            </a:graphic>
          </wp:inline>
        </w:drawing>
      </w:r>
    </w:p>
    <w:p w:rsidR="005C379B" w:rsidRPr="005C379B" w:rsidRDefault="005C379B" w:rsidP="005C379B">
      <w:pPr>
        <w:widowControl w:val="0"/>
        <w:jc w:val="center"/>
        <w:rPr>
          <w:rFonts w:ascii="Times New Roman" w:eastAsia="Times New Roman" w:hAnsi="Times New Roman" w:cs="Times New Roman"/>
          <w:sz w:val="24"/>
          <w:szCs w:val="24"/>
          <w:lang w:eastAsia="ru-RU"/>
        </w:rPr>
      </w:pPr>
      <w:r w:rsidRPr="005C379B">
        <w:rPr>
          <w:rFonts w:ascii="Times New Roman" w:eastAsia="Times New Roman" w:hAnsi="Times New Roman" w:cs="Times New Roman"/>
          <w:sz w:val="24"/>
          <w:szCs w:val="24"/>
          <w:lang w:eastAsia="ru-RU"/>
        </w:rPr>
        <w:t>  </w:t>
      </w:r>
    </w:p>
    <w:p w:rsidR="005C379B" w:rsidRPr="005C379B" w:rsidRDefault="005C379B" w:rsidP="005C379B">
      <w:pPr>
        <w:widowControl w:val="0"/>
        <w:jc w:val="center"/>
        <w:rPr>
          <w:rFonts w:ascii="Calibri" w:eastAsia="Calibri" w:hAnsi="Calibri" w:cs="Times New Roman"/>
        </w:rPr>
      </w:pPr>
      <w:r w:rsidRPr="005C379B">
        <w:rPr>
          <w:rFonts w:ascii="Times New Roman" w:eastAsia="Times New Roman" w:hAnsi="Times New Roman" w:cs="Times New Roman"/>
          <w:sz w:val="24"/>
          <w:szCs w:val="24"/>
          <w:lang w:eastAsia="ru-RU"/>
        </w:rPr>
        <w:t xml:space="preserve"> Рис. 1.3 </w:t>
      </w:r>
      <w:r w:rsidRPr="005C379B">
        <w:rPr>
          <w:rFonts w:ascii="Times New Roman" w:eastAsia="Times New Roman" w:hAnsi="Times New Roman" w:cs="Times New Roman"/>
          <w:b/>
          <w:bCs/>
          <w:sz w:val="24"/>
          <w:szCs w:val="24"/>
          <w:lang w:eastAsia="ru-RU"/>
        </w:rPr>
        <w:t>Структура муниципальных финансов</w:t>
      </w:r>
    </w:p>
    <w:p w:rsidR="005C379B" w:rsidRPr="005C379B" w:rsidRDefault="005C379B" w:rsidP="005C379B">
      <w:pPr>
        <w:widowControl w:val="0"/>
        <w:jc w:val="both"/>
        <w:rPr>
          <w:rFonts w:ascii="Calibri" w:eastAsia="Calibri" w:hAnsi="Calibri" w:cs="Times New Roman"/>
        </w:rPr>
      </w:pPr>
    </w:p>
    <w:p w:rsidR="005C379B" w:rsidRPr="005C379B" w:rsidRDefault="005C379B" w:rsidP="005C379B">
      <w:pPr>
        <w:jc w:val="center"/>
        <w:rPr>
          <w:rFonts w:ascii="Calibri" w:eastAsia="Calibri" w:hAnsi="Calibri" w:cs="Times New Roman"/>
        </w:rPr>
      </w:pPr>
      <w:r w:rsidRPr="005C379B">
        <w:rPr>
          <w:rFonts w:ascii="Calibri" w:eastAsia="Calibri" w:hAnsi="Calibri" w:cs="Times New Roman"/>
          <w:noProof/>
          <w:lang w:eastAsia="ru-RU"/>
        </w:rPr>
        <w:drawing>
          <wp:anchor distT="0" distB="0" distL="114300" distR="114300" simplePos="0" relativeHeight="251659264" behindDoc="0" locked="0" layoutInCell="1" allowOverlap="1" wp14:anchorId="3BAC5585" wp14:editId="5D59A02A">
            <wp:simplePos x="0" y="0"/>
            <wp:positionH relativeFrom="column">
              <wp:posOffset>-97790</wp:posOffset>
            </wp:positionH>
            <wp:positionV relativeFrom="paragraph">
              <wp:posOffset>109220</wp:posOffset>
            </wp:positionV>
            <wp:extent cx="6045835" cy="2893060"/>
            <wp:effectExtent l="0" t="0" r="0" b="0"/>
            <wp:wrapNone/>
            <wp:docPr id="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cstate="print"/>
                    <a:srcRect/>
                    <a:stretch>
                      <a:fillRect/>
                    </a:stretch>
                  </pic:blipFill>
                  <pic:spPr bwMode="auto">
                    <a:xfrm>
                      <a:off x="0" y="0"/>
                      <a:ext cx="6045835" cy="2893060"/>
                    </a:xfrm>
                    <a:prstGeom prst="rect">
                      <a:avLst/>
                    </a:prstGeom>
                    <a:noFill/>
                    <a:ln w="9525">
                      <a:noFill/>
                      <a:miter lim="800000"/>
                      <a:headEnd/>
                      <a:tailEnd/>
                    </a:ln>
                    <a:effectLst/>
                  </pic:spPr>
                </pic:pic>
              </a:graphicData>
            </a:graphic>
          </wp:anchor>
        </w:drawing>
      </w:r>
    </w:p>
    <w:p w:rsidR="005C379B" w:rsidRPr="005C379B" w:rsidRDefault="005C379B" w:rsidP="005C379B">
      <w:pPr>
        <w:widowControl w:val="0"/>
        <w:rPr>
          <w:rFonts w:ascii="Calibri" w:eastAsia="Calibri" w:hAnsi="Calibri" w:cs="Times New Roman"/>
          <w:noProof/>
        </w:rPr>
      </w:pPr>
      <w:r>
        <w:rPr>
          <w:rFonts w:ascii="Calibri" w:eastAsia="Calibri" w:hAnsi="Calibri" w:cs="Times New Roman"/>
          <w:noProof/>
          <w:lang w:eastAsia="ru-RU"/>
        </w:rPr>
        <mc:AlternateContent>
          <mc:Choice Requires="wpc">
            <w:drawing>
              <wp:inline distT="0" distB="0" distL="0" distR="0">
                <wp:extent cx="5940425" cy="2924175"/>
                <wp:effectExtent l="3810" t="0" r="0" b="4445"/>
                <wp:docPr id="75" name="Полотно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75" o:spid="_x0000_s1026" editas="canvas" style="width:467.75pt;height:230.25pt;mso-position-horizontal-relative:char;mso-position-vertical-relative:line" coordsize="59404,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">
                <v:shape id="_x0000_s1027" type="#_x0000_t75" style="position:absolute;width:59404;height:29241;visibility:visible;mso-wrap-style:square">
                  <v:fill o:detectmouseclick="t"/>
                  <v:path o:connecttype="none"/>
                </v:shape>
                <w10:anchorlock/>
              </v:group>
            </w:pict>
          </mc:Fallback>
        </mc:AlternateContent>
      </w:r>
    </w:p>
    <w:p w:rsidR="005C379B" w:rsidRPr="005C379B" w:rsidRDefault="005C379B" w:rsidP="005C379B">
      <w:pPr>
        <w:widowControl w:val="0"/>
        <w:jc w:val="center"/>
        <w:rPr>
          <w:rFonts w:ascii="Calibri" w:eastAsia="Calibri" w:hAnsi="Calibri" w:cs="Times New Roman"/>
        </w:rPr>
      </w:pPr>
      <w:r w:rsidRPr="005C379B">
        <w:rPr>
          <w:rFonts w:ascii="Calibri" w:eastAsia="Calibri" w:hAnsi="Calibri" w:cs="Times New Roman"/>
        </w:rPr>
        <w:t>Рисунок 1.4  Доходы г. Иркутска в 2013г. и в прогнозе 2014 г. в млн. руб.</w:t>
      </w:r>
    </w:p>
    <w:p w:rsidR="005C379B" w:rsidRPr="005C379B" w:rsidRDefault="005C379B" w:rsidP="005C379B">
      <w:pPr>
        <w:jc w:val="center"/>
        <w:rPr>
          <w:rFonts w:ascii="Calibri" w:eastAsia="Calibri" w:hAnsi="Calibri" w:cs="Times New Roman"/>
        </w:rPr>
      </w:pPr>
    </w:p>
    <w:p w:rsidR="005C379B" w:rsidRPr="005C379B" w:rsidRDefault="005C379B" w:rsidP="005C379B">
      <w:pPr>
        <w:jc w:val="center"/>
        <w:rPr>
          <w:rFonts w:ascii="Calibri" w:eastAsia="Calibri" w:hAnsi="Calibri" w:cs="Times New Roman"/>
        </w:rPr>
      </w:pP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t xml:space="preserve">Тема 2. Законодательные основы управления муниципальными финансами. </w:t>
      </w: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lang w:val="en-US"/>
        </w:rPr>
        <w:t> </w:t>
      </w:r>
      <w:hyperlink r:id="rId8" w:history="1">
        <w:r w:rsidRPr="005C379B">
          <w:rPr>
            <w:rFonts w:ascii="Times New Roman" w:eastAsia="Calibri" w:hAnsi="Times New Roman" w:cs="Times New Roman"/>
            <w:sz w:val="24"/>
            <w:szCs w:val="24"/>
          </w:rPr>
          <w:t>Конституци</w:t>
        </w:r>
      </w:hyperlink>
      <w:r w:rsidRPr="005C379B">
        <w:rPr>
          <w:rFonts w:ascii="Times New Roman" w:eastAsia="Calibri" w:hAnsi="Times New Roman" w:cs="Times New Roman"/>
          <w:sz w:val="24"/>
          <w:szCs w:val="24"/>
        </w:rPr>
        <w:t>я</w:t>
      </w:r>
      <w:r w:rsidRPr="005C379B">
        <w:rPr>
          <w:rFonts w:ascii="Times New Roman" w:eastAsia="Calibri" w:hAnsi="Times New Roman" w:cs="Times New Roman"/>
          <w:sz w:val="24"/>
          <w:szCs w:val="24"/>
          <w:lang w:val="en-US"/>
        </w:rPr>
        <w:t> </w:t>
      </w:r>
      <w:r w:rsidRPr="005C379B">
        <w:rPr>
          <w:rFonts w:ascii="Times New Roman" w:eastAsia="Calibri" w:hAnsi="Times New Roman" w:cs="Times New Roman"/>
          <w:sz w:val="24"/>
          <w:szCs w:val="24"/>
        </w:rPr>
        <w:t xml:space="preserve">РФ, </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Федеральный</w:t>
      </w:r>
      <w:r w:rsidRPr="005C379B">
        <w:rPr>
          <w:rFonts w:ascii="Times New Roman" w:eastAsia="Calibri" w:hAnsi="Times New Roman" w:cs="Times New Roman"/>
          <w:sz w:val="24"/>
          <w:szCs w:val="24"/>
          <w:lang w:val="en-US"/>
        </w:rPr>
        <w:t> </w:t>
      </w:r>
      <w:r w:rsidRPr="005C379B">
        <w:rPr>
          <w:rFonts w:ascii="Times New Roman" w:eastAsia="Calibri" w:hAnsi="Times New Roman" w:cs="Times New Roman"/>
          <w:sz w:val="24"/>
          <w:szCs w:val="24"/>
        </w:rPr>
        <w:t>закон</w:t>
      </w:r>
      <w:r w:rsidRPr="005C379B">
        <w:rPr>
          <w:rFonts w:ascii="Times New Roman" w:eastAsia="Calibri" w:hAnsi="Times New Roman" w:cs="Times New Roman"/>
          <w:sz w:val="24"/>
          <w:szCs w:val="24"/>
          <w:lang w:val="en-US"/>
        </w:rPr>
        <w:t> </w:t>
      </w:r>
      <w:r w:rsidRPr="005C379B">
        <w:rPr>
          <w:rFonts w:ascii="Times New Roman" w:eastAsia="Calibri" w:hAnsi="Times New Roman" w:cs="Times New Roman"/>
          <w:sz w:val="24"/>
          <w:szCs w:val="24"/>
        </w:rPr>
        <w:t xml:space="preserve">«Об общих принципах организации местного самоуправления в Российской Федерации», </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Федеральный закон «О финансовых основах местного самоуправления в РФ», другими федеральными законами, конституциями, уставами и законами субъектов Российской Федерации, уставами муниципальных образований, другими правовыми актами органов местного самоуправления.</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 xml:space="preserve">Бюджетный кодекс РФ от 31.07.1998 г. ФЗ № 145, </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 xml:space="preserve">Налоговый кодекс  РФ от 05.08.2000 ФЗ № 117, </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 xml:space="preserve">ФЗ от 01.12.2014 г. №384 ФЗ О Федеральном бюджете на 2015 г. и на плановый период 2016 и 2017 гг., </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 xml:space="preserve">Постановление правительства об утверждении государственной программы РФ « Создание условий для эффективного и ответственного управления региональными и муниципальными финансами, повышения устойчивости бюджетов субъектов РФ от 15.04.2014 г. № 210, </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Приказ Минфина РФ от 26.07.2013 г. №75-н «Об утверждении методики проведения оценки результатов, достигнутых субъектами РФ в сфере повышения эффективности бюджетных расходов и динамике данных результатов».</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 xml:space="preserve">Федеральный закон от 29.07.1998 № 135-ФЗ «Об оценочной деятельности в Российской Федерации». </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 xml:space="preserve">Федеральный закон от 14.11.2002 № 161-ФЗ «О государственных и муниципальных унитарных предприятиях». </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Федеральный закон от 26.12.1995 № 208-ФЗ «Об акционерных обществах».</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 xml:space="preserve">Федеральный закон от 05.04.2013 № 44-ФЗ « О контрактной системе  в сфере закупок товаров, работ, услуг для облегчения государственных и муниципальных нужд»: общая характеристика, </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highlight w:val="white"/>
        </w:rPr>
        <w:t>Федеральный закон от 18 июля 2011 г. N 223-ФЗ «О закупках товаров, работ, услуг отдельными видами юридических лиц» (с изменениями и дополнениями).</w:t>
      </w:r>
    </w:p>
    <w:p w:rsidR="005C379B" w:rsidRPr="005C379B" w:rsidRDefault="005C379B" w:rsidP="005C379B">
      <w:pPr>
        <w:numPr>
          <w:ilvl w:val="0"/>
          <w:numId w:val="1"/>
        </w:numPr>
        <w:tabs>
          <w:tab w:val="left" w:pos="851"/>
          <w:tab w:val="left" w:pos="1134"/>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5C379B">
        <w:rPr>
          <w:rFonts w:ascii="Times New Roman" w:eastAsia="Calibri" w:hAnsi="Times New Roman" w:cs="Times New Roman"/>
          <w:sz w:val="24"/>
          <w:szCs w:val="24"/>
        </w:rPr>
        <w:t>Региональные и муниципальные нормативно-правовые акты, регулирующие сферу управления муниципальных финансов.</w:t>
      </w: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t>Раздел 2. Бюджетная система  и бюджетный процесс в муниципальном образовании</w:t>
      </w: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b/>
          <w:bCs/>
          <w:sz w:val="24"/>
          <w:szCs w:val="24"/>
          <w:highlight w:val="white"/>
        </w:rPr>
      </w:pPr>
      <w:r w:rsidRPr="005C379B">
        <w:rPr>
          <w:rFonts w:ascii="Times New Roman" w:eastAsia="Calibri" w:hAnsi="Times New Roman" w:cs="Times New Roman"/>
          <w:b/>
          <w:bCs/>
          <w:sz w:val="24"/>
          <w:szCs w:val="24"/>
        </w:rPr>
        <w:t>Тема 3.</w:t>
      </w:r>
      <w:r w:rsidRPr="005C379B">
        <w:rPr>
          <w:rFonts w:ascii="Times New Roman" w:eastAsia="Calibri" w:hAnsi="Times New Roman" w:cs="Times New Roman"/>
          <w:b/>
          <w:bCs/>
          <w:sz w:val="24"/>
          <w:szCs w:val="24"/>
          <w:highlight w:val="white"/>
        </w:rPr>
        <w:t xml:space="preserve"> Бюджетная система РФ и место в ней муниципального бюджета.</w:t>
      </w: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sz w:val="24"/>
          <w:szCs w:val="24"/>
          <w:highlight w:val="white"/>
        </w:rPr>
      </w:pPr>
      <w:r w:rsidRPr="005C379B">
        <w:rPr>
          <w:rFonts w:ascii="Times New Roman" w:eastAsia="Calibri" w:hAnsi="Times New Roman" w:cs="Times New Roman"/>
          <w:sz w:val="24"/>
          <w:szCs w:val="24"/>
        </w:rPr>
        <w:t xml:space="preserve">Структура финансов и бюджетной системы Российской Федерации. Место муниципальных финансов в государственных  и региональных финансах.  Условия эффективного функционирования государственных и местных финансов. Бюджетная классификация: состав, классификация доходов и расходов бюджета. </w:t>
      </w: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b/>
          <w:bCs/>
          <w:sz w:val="24"/>
          <w:szCs w:val="24"/>
          <w:highlight w:val="white"/>
        </w:rPr>
      </w:pP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b/>
          <w:bCs/>
          <w:sz w:val="24"/>
          <w:szCs w:val="24"/>
          <w:highlight w:val="white"/>
        </w:rPr>
      </w:pP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b/>
          <w:bCs/>
          <w:sz w:val="24"/>
          <w:szCs w:val="24"/>
          <w:highlight w:val="white"/>
        </w:rPr>
      </w:pPr>
      <w:r w:rsidRPr="005C379B">
        <w:rPr>
          <w:rFonts w:ascii="Times New Roman" w:eastAsia="Calibri" w:hAnsi="Times New Roman" w:cs="Times New Roman"/>
          <w:b/>
          <w:bCs/>
          <w:sz w:val="24"/>
          <w:szCs w:val="24"/>
          <w:highlight w:val="white"/>
        </w:rPr>
        <w:t>Тема 4. Бюджетный процесс в муниципальном образовании</w:t>
      </w:r>
    </w:p>
    <w:p w:rsidR="005C379B" w:rsidRPr="005C379B" w:rsidRDefault="005C379B" w:rsidP="005C379B">
      <w:pPr>
        <w:jc w:val="right"/>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Таблица 4.1 </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Способы составления проекта бюджета </w:t>
      </w:r>
    </w:p>
    <w:tbl>
      <w:tblPr>
        <w:tblStyle w:val="a3"/>
        <w:tblW w:w="0" w:type="auto"/>
        <w:tblLook w:val="04A0" w:firstRow="1" w:lastRow="0" w:firstColumn="1" w:lastColumn="0" w:noHBand="0" w:noVBand="1"/>
      </w:tblPr>
      <w:tblGrid>
        <w:gridCol w:w="2802"/>
        <w:gridCol w:w="6769"/>
      </w:tblGrid>
      <w:tr w:rsidR="005C379B" w:rsidRPr="005C379B" w:rsidTr="00A81396">
        <w:tc>
          <w:tcPr>
            <w:tcW w:w="2802"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lastRenderedPageBreak/>
              <w:t>Способ</w:t>
            </w:r>
          </w:p>
        </w:tc>
        <w:tc>
          <w:tcPr>
            <w:tcW w:w="6769"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Характеристика</w:t>
            </w:r>
          </w:p>
        </w:tc>
      </w:tr>
      <w:tr w:rsidR="005C379B" w:rsidRPr="005C379B" w:rsidTr="00A81396">
        <w:tc>
          <w:tcPr>
            <w:tcW w:w="2802"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Постатейный бюджет, составленный по принципу приращения </w:t>
            </w:r>
          </w:p>
        </w:tc>
        <w:tc>
          <w:tcPr>
            <w:tcW w:w="6769"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Служит источником фондов для ведомств, расходующих государственные средства, является самым распространенным способом составления бюджета. </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Недостатки: </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-единая система классификации, применяемая в данном способе не дает всей информации, которая затрагивает интересы участников бюджетного процесса и позволяет осуществлять анализ бюджетных доходов и расходов;</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легкость бюджетного планирования, отличающая этот способ, не обеспечивает достижения оптимизации бюджета;</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принцип приращения рассчитывается как база в реальном выражении ( с поправкой на инфляцию) плюс процент прироста;</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бюджет планового периода составляется по принципу «от достигнутого», что предполагает постоянный характер расходов.</w:t>
            </w:r>
          </w:p>
        </w:tc>
      </w:tr>
      <w:tr w:rsidR="005C379B" w:rsidRPr="005C379B" w:rsidTr="00A81396">
        <w:tc>
          <w:tcPr>
            <w:tcW w:w="2802"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Планово-программное бюджетирование – система финансирования программ, которая сохраняет постатейный бюджет в модифицированном виде; существует многообразие форм планирования бюджета в рамках системы</w:t>
            </w:r>
          </w:p>
        </w:tc>
        <w:tc>
          <w:tcPr>
            <w:tcW w:w="6769"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Классификация расходов по функциональным программам вне зависимости от административного механизма расходования;</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Конкретизация целей программы с поддающимся измерению результатом;</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Измерение и оценка результатов с учетом поставленных целей;</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Составление бюджетных прогнозов на три-пять лет.</w:t>
            </w:r>
          </w:p>
          <w:p w:rsidR="005C379B" w:rsidRPr="005C379B" w:rsidRDefault="005C379B" w:rsidP="005C379B">
            <w:pPr>
              <w:rPr>
                <w:rFonts w:ascii="Times New Roman" w:eastAsia="Calibri" w:hAnsi="Times New Roman" w:cs="Times New Roman"/>
                <w:sz w:val="28"/>
                <w:szCs w:val="28"/>
              </w:rPr>
            </w:pPr>
          </w:p>
        </w:tc>
      </w:tr>
      <w:tr w:rsidR="005C379B" w:rsidRPr="005C379B" w:rsidTr="00A81396">
        <w:tc>
          <w:tcPr>
            <w:tcW w:w="2802"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Составление бюджета на нулевой основе</w:t>
            </w:r>
          </w:p>
        </w:tc>
        <w:tc>
          <w:tcPr>
            <w:tcW w:w="6769"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США первыми разработали данный метод. Президент Картер впервые пытался внедрить этот метод в систему управления государственными финансами. Составление бюджета на нулевой основе предусматривало замену принципа приращения, основанного на фиксации расходов бюджета, на принцип нулевой основы, который означает отказ от планирования на основе достигнутого. Согласно новому принципу, все программы должны обосновывать запрашиваемые под них бюджетные </w:t>
            </w:r>
            <w:r w:rsidRPr="005C379B">
              <w:rPr>
                <w:rFonts w:ascii="Times New Roman" w:eastAsia="Calibri" w:hAnsi="Times New Roman" w:cs="Times New Roman"/>
                <w:sz w:val="28"/>
                <w:szCs w:val="28"/>
              </w:rPr>
              <w:lastRenderedPageBreak/>
              <w:t xml:space="preserve">ассигнования – так как если бы каждый год начинался «с нуля». Метод просуществовал недолго, отказ от него был вызван обилием документации, все  министерства и ведомства погрязли в ежегодных системах обоснования собственных расходов.   </w:t>
            </w:r>
          </w:p>
        </w:tc>
      </w:tr>
      <w:tr w:rsidR="005C379B" w:rsidRPr="005C379B" w:rsidTr="00A81396">
        <w:tc>
          <w:tcPr>
            <w:tcW w:w="2802"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lastRenderedPageBreak/>
              <w:t>Управление по целям – бюджетирование, ориентированное на результат. Перспективное планирование финансирования программ. Способ получил развитие в результате необходимости выбора бюджетной налоговой политики и совершенствования планирования – бюджетирование, соединенное с бюджетом на нулевой основе.</w:t>
            </w:r>
          </w:p>
        </w:tc>
        <w:tc>
          <w:tcPr>
            <w:tcW w:w="6769"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Формирование государственного бюджета осуществляется как целостная система, включающая этапы планирования, реализации, мониторинга и оценки результатов. Развивается система планирования, программирования и финансирования программ/проектов, вбирающая основные элементы планово-программного бюджетирования.</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Основные элементы системы:</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классификация расходов по функциональной, экономической и ведомственной классификации;</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эффективность бюджетных расходов, измерение и мониторинг результатов с учетом поставленных целей;</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среднесрочное бюджетное планирование (бюджет текущего финансового года + проектировки бюджета на два последующих года);</w:t>
            </w:r>
          </w:p>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 составление бюджетов соответствующих принимаемых обязательств. </w:t>
            </w:r>
          </w:p>
        </w:tc>
      </w:tr>
    </w:tbl>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t>Раздел 3. Формирование бюджета муниципального образования.</w:t>
      </w: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t>Тема 5. Доходы местного бюджета.</w:t>
      </w:r>
    </w:p>
    <w:p w:rsidR="005C379B" w:rsidRPr="005C379B" w:rsidRDefault="005C379B" w:rsidP="005C379B">
      <w:pPr>
        <w:jc w:val="right"/>
        <w:rPr>
          <w:rFonts w:ascii="Times New Roman" w:eastAsia="Calibri" w:hAnsi="Times New Roman" w:cs="Times New Roman"/>
          <w:sz w:val="28"/>
          <w:szCs w:val="28"/>
        </w:rPr>
      </w:pPr>
      <w:r w:rsidRPr="005C379B">
        <w:rPr>
          <w:rFonts w:ascii="Times New Roman" w:eastAsia="Calibri" w:hAnsi="Times New Roman" w:cs="Times New Roman"/>
          <w:sz w:val="28"/>
          <w:szCs w:val="28"/>
        </w:rPr>
        <w:t>Таблица 5.1</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Классификация доходов бюджетов всех уровней бюджетной системы РФ</w:t>
      </w:r>
    </w:p>
    <w:tbl>
      <w:tblPr>
        <w:tblStyle w:val="a3"/>
        <w:tblW w:w="0" w:type="auto"/>
        <w:tblLook w:val="04A0" w:firstRow="1" w:lastRow="0" w:firstColumn="1" w:lastColumn="0" w:noHBand="0" w:noVBand="1"/>
      </w:tblPr>
      <w:tblGrid>
        <w:gridCol w:w="4785"/>
        <w:gridCol w:w="4786"/>
      </w:tblGrid>
      <w:tr w:rsidR="005C379B" w:rsidRPr="005C379B" w:rsidTr="00A81396">
        <w:tc>
          <w:tcPr>
            <w:tcW w:w="4785"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Классификатор</w:t>
            </w:r>
          </w:p>
        </w:tc>
        <w:tc>
          <w:tcPr>
            <w:tcW w:w="4786"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Виды доходов </w:t>
            </w:r>
          </w:p>
        </w:tc>
      </w:tr>
      <w:tr w:rsidR="005C379B" w:rsidRPr="005C379B" w:rsidTr="00A81396">
        <w:tc>
          <w:tcPr>
            <w:tcW w:w="4785"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По источникам поступления (БК РФ)</w:t>
            </w:r>
          </w:p>
        </w:tc>
        <w:tc>
          <w:tcPr>
            <w:tcW w:w="4786"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Налоговые и неналоговые ; безвозмездные поступления</w:t>
            </w:r>
          </w:p>
        </w:tc>
      </w:tr>
      <w:tr w:rsidR="005C379B" w:rsidRPr="005C379B" w:rsidTr="00A81396">
        <w:tc>
          <w:tcPr>
            <w:tcW w:w="4785"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По сферам использования (НК РФ)</w:t>
            </w:r>
          </w:p>
        </w:tc>
        <w:tc>
          <w:tcPr>
            <w:tcW w:w="4786"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Федеральные, региональные, местные, доходы целевых бюджетных фондов</w:t>
            </w:r>
          </w:p>
        </w:tc>
      </w:tr>
      <w:tr w:rsidR="005C379B" w:rsidRPr="005C379B" w:rsidTr="00A81396">
        <w:tc>
          <w:tcPr>
            <w:tcW w:w="4785"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По доле перечисления бюджету соответствующего уровня (БК РФ, закон о федеральном бюджете)</w:t>
            </w:r>
          </w:p>
        </w:tc>
        <w:tc>
          <w:tcPr>
            <w:tcW w:w="4786"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Закрепленные налоги; регулирующие налоги</w:t>
            </w:r>
          </w:p>
        </w:tc>
      </w:tr>
      <w:tr w:rsidR="005C379B" w:rsidRPr="005C379B" w:rsidTr="00A81396">
        <w:tc>
          <w:tcPr>
            <w:tcW w:w="4785"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По сферам принадлежности (БК РФ, закон о федеральном бюджете)</w:t>
            </w:r>
          </w:p>
        </w:tc>
        <w:tc>
          <w:tcPr>
            <w:tcW w:w="4786"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Собственные доходы, трансферты</w:t>
            </w:r>
          </w:p>
        </w:tc>
      </w:tr>
    </w:tbl>
    <w:p w:rsidR="005C379B" w:rsidRPr="005C379B" w:rsidRDefault="005C379B" w:rsidP="005C379B">
      <w:pPr>
        <w:jc w:val="right"/>
        <w:rPr>
          <w:rFonts w:ascii="Times New Roman" w:eastAsia="Calibri" w:hAnsi="Times New Roman" w:cs="Times New Roman"/>
          <w:sz w:val="28"/>
          <w:szCs w:val="28"/>
        </w:rPr>
      </w:pPr>
    </w:p>
    <w:p w:rsidR="005C379B" w:rsidRPr="005C379B" w:rsidRDefault="005C379B" w:rsidP="005C379B">
      <w:pPr>
        <w:jc w:val="right"/>
        <w:rPr>
          <w:rFonts w:ascii="Times New Roman" w:eastAsia="Calibri" w:hAnsi="Times New Roman" w:cs="Times New Roman"/>
          <w:b/>
          <w:sz w:val="28"/>
          <w:szCs w:val="28"/>
        </w:rPr>
      </w:pPr>
    </w:p>
    <w:p w:rsidR="005C379B" w:rsidRPr="005C379B" w:rsidRDefault="005C379B" w:rsidP="005C379B">
      <w:pPr>
        <w:jc w:val="right"/>
        <w:rPr>
          <w:rFonts w:ascii="Times New Roman" w:eastAsia="Calibri" w:hAnsi="Times New Roman" w:cs="Times New Roman"/>
          <w:sz w:val="28"/>
          <w:szCs w:val="28"/>
        </w:rPr>
      </w:pPr>
      <w:r w:rsidRPr="005C379B">
        <w:rPr>
          <w:rFonts w:ascii="Times New Roman" w:eastAsia="Calibri" w:hAnsi="Times New Roman" w:cs="Times New Roman"/>
          <w:sz w:val="28"/>
          <w:szCs w:val="28"/>
        </w:rPr>
        <w:t>Таблица 5.2</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Достоинства и недостатки схемы использования одной и той же налогооблагаемой базы</w:t>
      </w:r>
    </w:p>
    <w:tbl>
      <w:tblPr>
        <w:tblStyle w:val="a3"/>
        <w:tblW w:w="0" w:type="auto"/>
        <w:tblLook w:val="04A0" w:firstRow="1" w:lastRow="0" w:firstColumn="1" w:lastColumn="0" w:noHBand="0" w:noVBand="1"/>
      </w:tblPr>
      <w:tblGrid>
        <w:gridCol w:w="4785"/>
        <w:gridCol w:w="4786"/>
      </w:tblGrid>
      <w:tr w:rsidR="005C379B" w:rsidRPr="005C379B" w:rsidTr="00A81396">
        <w:tc>
          <w:tcPr>
            <w:tcW w:w="4785"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Достоинства </w:t>
            </w:r>
          </w:p>
        </w:tc>
        <w:tc>
          <w:tcPr>
            <w:tcW w:w="4786"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Недостатки </w:t>
            </w:r>
          </w:p>
        </w:tc>
      </w:tr>
      <w:tr w:rsidR="005C379B" w:rsidRPr="005C379B" w:rsidTr="00A81396">
        <w:tc>
          <w:tcPr>
            <w:tcW w:w="4785"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Экономичность централизованного сбора налогов</w:t>
            </w:r>
          </w:p>
        </w:tc>
        <w:tc>
          <w:tcPr>
            <w:tcW w:w="4786"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Излишняя централизация фискальных усилий, выстраивание вертикали власти</w:t>
            </w:r>
          </w:p>
        </w:tc>
      </w:tr>
      <w:tr w:rsidR="005C379B" w:rsidRPr="005C379B" w:rsidTr="00A81396">
        <w:tc>
          <w:tcPr>
            <w:tcW w:w="4785"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Широкие возможности аккумулирования средств, определяемые целью выравнивания территориальных бюджетов</w:t>
            </w:r>
          </w:p>
        </w:tc>
        <w:tc>
          <w:tcPr>
            <w:tcW w:w="4786"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Стремление к унитарному типу государственного устройства</w:t>
            </w:r>
          </w:p>
        </w:tc>
      </w:tr>
      <w:tr w:rsidR="005C379B" w:rsidRPr="005C379B" w:rsidTr="00A81396">
        <w:tc>
          <w:tcPr>
            <w:tcW w:w="4785"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Высокая жесткость администрирования налогов и высокий уровень их собираемости </w:t>
            </w:r>
          </w:p>
        </w:tc>
        <w:tc>
          <w:tcPr>
            <w:tcW w:w="4786"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Превращение местных органов власти в структурные подразделения единой государственной корпорации. Высокий уровень межбюджетных трансфертов.</w:t>
            </w:r>
          </w:p>
        </w:tc>
      </w:tr>
    </w:tbl>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mc:AlternateContent>
          <mc:Choice Requires="wpc">
            <w:drawing>
              <wp:inline distT="0" distB="0" distL="0" distR="0">
                <wp:extent cx="5940425" cy="8049895"/>
                <wp:effectExtent l="3810" t="0" r="0" b="2540"/>
                <wp:docPr id="74" name="Полотно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 name="Rectangle 48"/>
                        <wps:cNvSpPr>
                          <a:spLocks noChangeArrowheads="1"/>
                        </wps:cNvSpPr>
                        <wps:spPr bwMode="auto">
                          <a:xfrm>
                            <a:off x="961194" y="134883"/>
                            <a:ext cx="4018863" cy="496459"/>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b/>
                                  <w:sz w:val="20"/>
                                  <w:szCs w:val="20"/>
                                </w:rPr>
                              </w:pPr>
                              <w:r w:rsidRPr="004D06FD">
                                <w:rPr>
                                  <w:rFonts w:ascii="Times New Roman" w:hAnsi="Times New Roman"/>
                                  <w:b/>
                                  <w:sz w:val="20"/>
                                  <w:szCs w:val="20"/>
                                </w:rPr>
                                <w:t>Доходы местных бюджетов</w:t>
                              </w:r>
                            </w:p>
                          </w:txbxContent>
                        </wps:txbx>
                        <wps:bodyPr rot="0" vert="horz" wrap="square" lIns="91440" tIns="45720" rIns="91440" bIns="45720" anchor="t" anchorCtr="0" upright="1">
                          <a:noAutofit/>
                        </wps:bodyPr>
                      </wps:wsp>
                      <wps:wsp>
                        <wps:cNvPr id="52" name="Rectangle 49"/>
                        <wps:cNvSpPr>
                          <a:spLocks noChangeArrowheads="1"/>
                        </wps:cNvSpPr>
                        <wps:spPr bwMode="auto">
                          <a:xfrm>
                            <a:off x="152636" y="1084730"/>
                            <a:ext cx="1265641" cy="583736"/>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b/>
                                  <w:sz w:val="20"/>
                                  <w:szCs w:val="20"/>
                                </w:rPr>
                              </w:pPr>
                              <w:r w:rsidRPr="004D06FD">
                                <w:rPr>
                                  <w:rFonts w:ascii="Times New Roman" w:hAnsi="Times New Roman"/>
                                  <w:b/>
                                  <w:sz w:val="20"/>
                                  <w:szCs w:val="20"/>
                                </w:rPr>
                                <w:t>Налоговые доходы</w:t>
                              </w:r>
                            </w:p>
                          </w:txbxContent>
                        </wps:txbx>
                        <wps:bodyPr rot="0" vert="horz" wrap="square" lIns="91440" tIns="45720" rIns="91440" bIns="45720" anchor="t" anchorCtr="0" upright="1">
                          <a:noAutofit/>
                        </wps:bodyPr>
                      </wps:wsp>
                      <wps:wsp>
                        <wps:cNvPr id="53" name="Rectangle 50"/>
                        <wps:cNvSpPr>
                          <a:spLocks noChangeArrowheads="1"/>
                        </wps:cNvSpPr>
                        <wps:spPr bwMode="auto">
                          <a:xfrm>
                            <a:off x="152636" y="1755743"/>
                            <a:ext cx="1265641" cy="847835"/>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Законодательно закрепленные доли федеральных налогов</w:t>
                              </w:r>
                            </w:p>
                          </w:txbxContent>
                        </wps:txbx>
                        <wps:bodyPr rot="0" vert="horz" wrap="square" lIns="91440" tIns="45720" rIns="91440" bIns="45720" anchor="t" anchorCtr="0" upright="1">
                          <a:noAutofit/>
                        </wps:bodyPr>
                      </wps:wsp>
                      <wps:wsp>
                        <wps:cNvPr id="54" name="Rectangle 51"/>
                        <wps:cNvSpPr>
                          <a:spLocks noChangeArrowheads="1"/>
                        </wps:cNvSpPr>
                        <wps:spPr bwMode="auto">
                          <a:xfrm>
                            <a:off x="152636" y="2603578"/>
                            <a:ext cx="1265641" cy="1051859"/>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Законодательно закрепленные доли региональных налогов</w:t>
                              </w:r>
                            </w:p>
                          </w:txbxContent>
                        </wps:txbx>
                        <wps:bodyPr rot="0" vert="horz" wrap="square" lIns="91440" tIns="45720" rIns="91440" bIns="45720" anchor="t" anchorCtr="0" upright="1">
                          <a:noAutofit/>
                        </wps:bodyPr>
                      </wps:wsp>
                      <wps:wsp>
                        <wps:cNvPr id="55" name="Rectangle 52"/>
                        <wps:cNvSpPr>
                          <a:spLocks noChangeArrowheads="1"/>
                        </wps:cNvSpPr>
                        <wps:spPr bwMode="auto">
                          <a:xfrm>
                            <a:off x="152636" y="3655437"/>
                            <a:ext cx="1265641" cy="759424"/>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Отдельные виды государственной пошлины</w:t>
                              </w:r>
                            </w:p>
                          </w:txbxContent>
                        </wps:txbx>
                        <wps:bodyPr rot="0" vert="horz" wrap="square" lIns="91440" tIns="45720" rIns="91440" bIns="45720" anchor="t" anchorCtr="0" upright="1">
                          <a:noAutofit/>
                        </wps:bodyPr>
                      </wps:wsp>
                      <wps:wsp>
                        <wps:cNvPr id="56" name="Rectangle 53"/>
                        <wps:cNvSpPr>
                          <a:spLocks noChangeArrowheads="1"/>
                        </wps:cNvSpPr>
                        <wps:spPr bwMode="auto">
                          <a:xfrm>
                            <a:off x="152636" y="4414861"/>
                            <a:ext cx="1265641" cy="933978"/>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18"/>
                                  <w:szCs w:val="18"/>
                                </w:rPr>
                              </w:pPr>
                              <w:r w:rsidRPr="004D06FD">
                                <w:rPr>
                                  <w:rFonts w:ascii="Times New Roman" w:hAnsi="Times New Roman"/>
                                  <w:sz w:val="18"/>
                                  <w:szCs w:val="18"/>
                                </w:rPr>
                                <w:t>Пени и штрафы по местным и закрепленным нало</w:t>
                              </w:r>
                              <w:r>
                                <w:rPr>
                                  <w:rFonts w:ascii="Times New Roman" w:hAnsi="Times New Roman"/>
                                  <w:sz w:val="18"/>
                                  <w:szCs w:val="18"/>
                                </w:rPr>
                                <w:t>г</w:t>
                              </w:r>
                              <w:r w:rsidRPr="004D06FD">
                                <w:rPr>
                                  <w:rFonts w:ascii="Times New Roman" w:hAnsi="Times New Roman"/>
                                  <w:sz w:val="18"/>
                                  <w:szCs w:val="18"/>
                                </w:rPr>
                                <w:t>ам</w:t>
                              </w:r>
                            </w:p>
                            <w:p w:rsidR="005C379B" w:rsidRPr="004D06FD" w:rsidRDefault="005C379B" w:rsidP="005C379B">
                              <w:pPr>
                                <w:rPr>
                                  <w:rFonts w:ascii="Times New Roman" w:hAnsi="Times New Roman"/>
                                  <w:sz w:val="20"/>
                                  <w:szCs w:val="20"/>
                                </w:rPr>
                              </w:pPr>
                            </w:p>
                          </w:txbxContent>
                        </wps:txbx>
                        <wps:bodyPr rot="0" vert="horz" wrap="square" lIns="91440" tIns="45720" rIns="91440" bIns="45720" anchor="t" anchorCtr="0" upright="1">
                          <a:noAutofit/>
                        </wps:bodyPr>
                      </wps:wsp>
                      <wps:wsp>
                        <wps:cNvPr id="57" name="Rectangle 54"/>
                        <wps:cNvSpPr>
                          <a:spLocks noChangeArrowheads="1"/>
                        </wps:cNvSpPr>
                        <wps:spPr bwMode="auto">
                          <a:xfrm>
                            <a:off x="152636" y="5348839"/>
                            <a:ext cx="1265641" cy="1067728"/>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Часть доходов от специальных налоговых режимов</w:t>
                              </w:r>
                            </w:p>
                          </w:txbxContent>
                        </wps:txbx>
                        <wps:bodyPr rot="0" vert="horz" wrap="square" lIns="91440" tIns="45720" rIns="91440" bIns="45720" anchor="t" anchorCtr="0" upright="1">
                          <a:noAutofit/>
                        </wps:bodyPr>
                      </wps:wsp>
                      <wps:wsp>
                        <wps:cNvPr id="58" name="Rectangle 55"/>
                        <wps:cNvSpPr>
                          <a:spLocks noChangeArrowheads="1"/>
                        </wps:cNvSpPr>
                        <wps:spPr bwMode="auto">
                          <a:xfrm>
                            <a:off x="1882785" y="1084730"/>
                            <a:ext cx="1679820" cy="583736"/>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b/>
                                  <w:sz w:val="20"/>
                                  <w:szCs w:val="20"/>
                                </w:rPr>
                              </w:pPr>
                              <w:r w:rsidRPr="004D06FD">
                                <w:rPr>
                                  <w:rFonts w:ascii="Times New Roman" w:hAnsi="Times New Roman"/>
                                  <w:b/>
                                  <w:sz w:val="20"/>
                                  <w:szCs w:val="20"/>
                                </w:rPr>
                                <w:t>Неналоговые доходы</w:t>
                              </w:r>
                            </w:p>
                          </w:txbxContent>
                        </wps:txbx>
                        <wps:bodyPr rot="0" vert="horz" wrap="square" lIns="91440" tIns="45720" rIns="91440" bIns="45720" anchor="t" anchorCtr="0" upright="1">
                          <a:noAutofit/>
                        </wps:bodyPr>
                      </wps:wsp>
                      <wps:wsp>
                        <wps:cNvPr id="59" name="Rectangle 56"/>
                        <wps:cNvSpPr>
                          <a:spLocks noChangeArrowheads="1"/>
                        </wps:cNvSpPr>
                        <wps:spPr bwMode="auto">
                          <a:xfrm>
                            <a:off x="1882785" y="1755743"/>
                            <a:ext cx="1679820" cy="1022389"/>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Доходы от использования муниципального имущества, включая землю</w:t>
                              </w:r>
                            </w:p>
                          </w:txbxContent>
                        </wps:txbx>
                        <wps:bodyPr rot="0" vert="horz" wrap="square" lIns="91440" tIns="45720" rIns="91440" bIns="45720" anchor="t" anchorCtr="0" upright="1">
                          <a:noAutofit/>
                        </wps:bodyPr>
                      </wps:wsp>
                      <wps:wsp>
                        <wps:cNvPr id="60" name="Rectangle 57"/>
                        <wps:cNvSpPr>
                          <a:spLocks noChangeArrowheads="1"/>
                        </wps:cNvSpPr>
                        <wps:spPr bwMode="auto">
                          <a:xfrm>
                            <a:off x="1882785" y="2778132"/>
                            <a:ext cx="1679820" cy="775293"/>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Доходы от продажи имущества, включая земельные участки</w:t>
                              </w:r>
                            </w:p>
                          </w:txbxContent>
                        </wps:txbx>
                        <wps:bodyPr rot="0" vert="horz" wrap="square" lIns="91440" tIns="45720" rIns="91440" bIns="45720" anchor="t" anchorCtr="0" upright="1">
                          <a:noAutofit/>
                        </wps:bodyPr>
                      </wps:wsp>
                      <wps:wsp>
                        <wps:cNvPr id="61" name="Rectangle 58"/>
                        <wps:cNvSpPr>
                          <a:spLocks noChangeArrowheads="1"/>
                        </wps:cNvSpPr>
                        <wps:spPr bwMode="auto">
                          <a:xfrm>
                            <a:off x="1882785" y="3553425"/>
                            <a:ext cx="1679820" cy="1008787"/>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Доходы от платных услуг, оказываемых органами МСУ и муниципальными учреждениями</w:t>
                              </w:r>
                            </w:p>
                          </w:txbxContent>
                        </wps:txbx>
                        <wps:bodyPr rot="0" vert="horz" wrap="square" lIns="91440" tIns="45720" rIns="91440" bIns="45720" anchor="t" anchorCtr="0" upright="1">
                          <a:noAutofit/>
                        </wps:bodyPr>
                      </wps:wsp>
                      <wps:wsp>
                        <wps:cNvPr id="62" name="Rectangle 59"/>
                        <wps:cNvSpPr>
                          <a:spLocks noChangeArrowheads="1"/>
                        </wps:cNvSpPr>
                        <wps:spPr bwMode="auto">
                          <a:xfrm>
                            <a:off x="1882785" y="4562212"/>
                            <a:ext cx="1679820" cy="786627"/>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Часть прибыли муниципальных предприятий</w:t>
                              </w:r>
                            </w:p>
                          </w:txbxContent>
                        </wps:txbx>
                        <wps:bodyPr rot="0" vert="horz" wrap="square" lIns="91440" tIns="45720" rIns="91440" bIns="45720" anchor="t" anchorCtr="0" upright="1">
                          <a:noAutofit/>
                        </wps:bodyPr>
                      </wps:wsp>
                      <wps:wsp>
                        <wps:cNvPr id="63" name="Rectangle 60"/>
                        <wps:cNvSpPr>
                          <a:spLocks noChangeArrowheads="1"/>
                        </wps:cNvSpPr>
                        <wps:spPr bwMode="auto">
                          <a:xfrm>
                            <a:off x="1882785" y="5348839"/>
                            <a:ext cx="1679820" cy="1213945"/>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Плата за негативное воздействие на окружающую среду ( для городских  округов и муниципальных районов)</w:t>
                              </w:r>
                            </w:p>
                          </w:txbxContent>
                        </wps:txbx>
                        <wps:bodyPr rot="0" vert="horz" wrap="square" lIns="91440" tIns="45720" rIns="91440" bIns="45720" anchor="t" anchorCtr="0" upright="1">
                          <a:noAutofit/>
                        </wps:bodyPr>
                      </wps:wsp>
                      <wps:wsp>
                        <wps:cNvPr id="64" name="Rectangle 61"/>
                        <wps:cNvSpPr>
                          <a:spLocks noChangeArrowheads="1"/>
                        </wps:cNvSpPr>
                        <wps:spPr bwMode="auto">
                          <a:xfrm>
                            <a:off x="1882785" y="6562784"/>
                            <a:ext cx="1679820" cy="758291"/>
                          </a:xfrm>
                          <a:prstGeom prst="rect">
                            <a:avLst/>
                          </a:prstGeom>
                          <a:solidFill>
                            <a:srgbClr val="FFFFFF"/>
                          </a:solidFill>
                          <a:ln w="9525">
                            <a:solidFill>
                              <a:srgbClr val="000000"/>
                            </a:solidFill>
                            <a:miter lim="800000"/>
                            <a:headEnd/>
                            <a:tailEnd/>
                          </a:ln>
                        </wps:spPr>
                        <wps:txb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Средства самообложения граждан</w:t>
                              </w:r>
                            </w:p>
                          </w:txbxContent>
                        </wps:txbx>
                        <wps:bodyPr rot="0" vert="horz" wrap="square" lIns="91440" tIns="45720" rIns="91440" bIns="45720" anchor="t" anchorCtr="0" upright="1">
                          <a:noAutofit/>
                        </wps:bodyPr>
                      </wps:wsp>
                      <wps:wsp>
                        <wps:cNvPr id="65" name="Rectangle 62"/>
                        <wps:cNvSpPr>
                          <a:spLocks noChangeArrowheads="1"/>
                        </wps:cNvSpPr>
                        <wps:spPr bwMode="auto">
                          <a:xfrm>
                            <a:off x="3927281" y="1084730"/>
                            <a:ext cx="1733449" cy="816097"/>
                          </a:xfrm>
                          <a:prstGeom prst="rect">
                            <a:avLst/>
                          </a:prstGeom>
                          <a:solidFill>
                            <a:srgbClr val="FFFFFF"/>
                          </a:solidFill>
                          <a:ln w="9525">
                            <a:solidFill>
                              <a:srgbClr val="000000"/>
                            </a:solidFill>
                            <a:miter lim="800000"/>
                            <a:headEnd/>
                            <a:tailEnd/>
                          </a:ln>
                        </wps:spPr>
                        <wps:txbx>
                          <w:txbxContent>
                            <w:p w:rsidR="005C379B" w:rsidRPr="00C65ABA" w:rsidRDefault="005C379B" w:rsidP="005C379B">
                              <w:pPr>
                                <w:jc w:val="center"/>
                                <w:rPr>
                                  <w:rFonts w:ascii="Times New Roman" w:hAnsi="Times New Roman"/>
                                  <w:b/>
                                  <w:sz w:val="20"/>
                                  <w:szCs w:val="20"/>
                                </w:rPr>
                              </w:pPr>
                              <w:r>
                                <w:rPr>
                                  <w:rFonts w:ascii="Times New Roman" w:hAnsi="Times New Roman"/>
                                  <w:b/>
                                  <w:sz w:val="20"/>
                                  <w:szCs w:val="20"/>
                                </w:rPr>
                                <w:t>Безвозмездные поступления из бюджета других уровней</w:t>
                              </w:r>
                            </w:p>
                          </w:txbxContent>
                        </wps:txbx>
                        <wps:bodyPr rot="0" vert="horz" wrap="square" lIns="91440" tIns="45720" rIns="91440" bIns="45720" anchor="t" anchorCtr="0" upright="1">
                          <a:noAutofit/>
                        </wps:bodyPr>
                      </wps:wsp>
                      <wps:wsp>
                        <wps:cNvPr id="66" name="Rectangle 63"/>
                        <wps:cNvSpPr>
                          <a:spLocks noChangeArrowheads="1"/>
                        </wps:cNvSpPr>
                        <wps:spPr bwMode="auto">
                          <a:xfrm>
                            <a:off x="3927281" y="1975636"/>
                            <a:ext cx="1733449" cy="627942"/>
                          </a:xfrm>
                          <a:prstGeom prst="rect">
                            <a:avLst/>
                          </a:prstGeom>
                          <a:solidFill>
                            <a:srgbClr val="FFFFFF"/>
                          </a:solidFill>
                          <a:ln w="9525">
                            <a:solidFill>
                              <a:srgbClr val="000000"/>
                            </a:solidFill>
                            <a:miter lim="800000"/>
                            <a:headEnd/>
                            <a:tailEnd/>
                          </a:ln>
                        </wps:spPr>
                        <wps:txbx>
                          <w:txbxContent>
                            <w:p w:rsidR="005C379B" w:rsidRPr="00C65ABA" w:rsidRDefault="005C379B" w:rsidP="005C379B">
                              <w:pPr>
                                <w:spacing w:after="0" w:line="240" w:lineRule="auto"/>
                                <w:jc w:val="center"/>
                                <w:rPr>
                                  <w:rFonts w:ascii="Times New Roman" w:hAnsi="Times New Roman"/>
                                  <w:sz w:val="20"/>
                                  <w:szCs w:val="20"/>
                                </w:rPr>
                              </w:pPr>
                              <w:r w:rsidRPr="00C65ABA">
                                <w:rPr>
                                  <w:rFonts w:ascii="Times New Roman" w:hAnsi="Times New Roman"/>
                                  <w:sz w:val="20"/>
                                  <w:szCs w:val="20"/>
                                </w:rPr>
                                <w:t xml:space="preserve">Дотации на выравнивание бюджетной обеспеченности </w:t>
                              </w:r>
                            </w:p>
                          </w:txbxContent>
                        </wps:txbx>
                        <wps:bodyPr rot="0" vert="horz" wrap="square" lIns="91440" tIns="45720" rIns="91440" bIns="45720" anchor="t" anchorCtr="0" upright="1">
                          <a:noAutofit/>
                        </wps:bodyPr>
                      </wps:wsp>
                      <wps:wsp>
                        <wps:cNvPr id="67" name="Rectangle 64"/>
                        <wps:cNvSpPr>
                          <a:spLocks noChangeArrowheads="1"/>
                        </wps:cNvSpPr>
                        <wps:spPr bwMode="auto">
                          <a:xfrm>
                            <a:off x="3927281" y="2603578"/>
                            <a:ext cx="1733449" cy="1051859"/>
                          </a:xfrm>
                          <a:prstGeom prst="rect">
                            <a:avLst/>
                          </a:prstGeom>
                          <a:solidFill>
                            <a:srgbClr val="FFFFFF"/>
                          </a:solidFill>
                          <a:ln w="9525">
                            <a:solidFill>
                              <a:srgbClr val="000000"/>
                            </a:solidFill>
                            <a:miter lim="800000"/>
                            <a:headEnd/>
                            <a:tailEnd/>
                          </a:ln>
                        </wps:spPr>
                        <wps:txbx>
                          <w:txbxContent>
                            <w:p w:rsidR="005C379B" w:rsidRPr="00C65ABA" w:rsidRDefault="005C379B" w:rsidP="005C379B">
                              <w:pPr>
                                <w:jc w:val="center"/>
                                <w:rPr>
                                  <w:rFonts w:ascii="Times New Roman" w:hAnsi="Times New Roman"/>
                                  <w:sz w:val="20"/>
                                  <w:szCs w:val="20"/>
                                </w:rPr>
                              </w:pPr>
                              <w:r>
                                <w:rPr>
                                  <w:rFonts w:ascii="Times New Roman" w:hAnsi="Times New Roman"/>
                                  <w:sz w:val="20"/>
                                  <w:szCs w:val="20"/>
                                </w:rPr>
                                <w:t>Субсидии для долевого финансирования расходных обязательств по вопросам местного значения</w:t>
                              </w:r>
                            </w:p>
                          </w:txbxContent>
                        </wps:txbx>
                        <wps:bodyPr rot="0" vert="horz" wrap="square" lIns="91440" tIns="45720" rIns="91440" bIns="45720" anchor="t" anchorCtr="0" upright="1">
                          <a:noAutofit/>
                        </wps:bodyPr>
                      </wps:wsp>
                      <wps:wsp>
                        <wps:cNvPr id="68" name="Rectangle 65"/>
                        <wps:cNvSpPr>
                          <a:spLocks noChangeArrowheads="1"/>
                        </wps:cNvSpPr>
                        <wps:spPr bwMode="auto">
                          <a:xfrm>
                            <a:off x="3927281" y="3655437"/>
                            <a:ext cx="1733449" cy="1022389"/>
                          </a:xfrm>
                          <a:prstGeom prst="rect">
                            <a:avLst/>
                          </a:prstGeom>
                          <a:solidFill>
                            <a:srgbClr val="FFFFFF"/>
                          </a:solidFill>
                          <a:ln w="9525">
                            <a:solidFill>
                              <a:srgbClr val="000000"/>
                            </a:solidFill>
                            <a:miter lim="800000"/>
                            <a:headEnd/>
                            <a:tailEnd/>
                          </a:ln>
                        </wps:spPr>
                        <wps:txbx>
                          <w:txbxContent>
                            <w:p w:rsidR="005C379B" w:rsidRPr="00C65ABA" w:rsidRDefault="005C379B" w:rsidP="005C379B">
                              <w:pPr>
                                <w:jc w:val="center"/>
                                <w:rPr>
                                  <w:rFonts w:ascii="Times New Roman" w:hAnsi="Times New Roman"/>
                                  <w:sz w:val="20"/>
                                  <w:szCs w:val="20"/>
                                </w:rPr>
                              </w:pPr>
                              <w:r>
                                <w:rPr>
                                  <w:rFonts w:ascii="Times New Roman" w:hAnsi="Times New Roman"/>
                                  <w:sz w:val="20"/>
                                  <w:szCs w:val="20"/>
                                </w:rPr>
                                <w:t>Субвенции на осуществление отдельных государственных полномочий</w:t>
                              </w:r>
                            </w:p>
                          </w:txbxContent>
                        </wps:txbx>
                        <wps:bodyPr rot="0" vert="horz" wrap="square" lIns="91440" tIns="45720" rIns="91440" bIns="45720" anchor="t" anchorCtr="0" upright="1">
                          <a:noAutofit/>
                        </wps:bodyPr>
                      </wps:wsp>
                      <wps:wsp>
                        <wps:cNvPr id="69" name="AutoShape 66"/>
                        <wps:cNvCnPr>
                          <a:cxnSpLocks noChangeShapeType="1"/>
                          <a:stCxn id="51" idx="2"/>
                          <a:endCxn id="52" idx="0"/>
                        </wps:cNvCnPr>
                        <wps:spPr bwMode="auto">
                          <a:xfrm flipH="1">
                            <a:off x="785456" y="631342"/>
                            <a:ext cx="2185581" cy="453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67"/>
                        <wps:cNvCnPr>
                          <a:cxnSpLocks noChangeShapeType="1"/>
                          <a:stCxn id="51" idx="2"/>
                          <a:endCxn id="58" idx="0"/>
                        </wps:cNvCnPr>
                        <wps:spPr bwMode="auto">
                          <a:xfrm flipH="1">
                            <a:off x="2722695" y="631342"/>
                            <a:ext cx="248343" cy="453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68"/>
                        <wps:cNvCnPr>
                          <a:cxnSpLocks noChangeShapeType="1"/>
                          <a:stCxn id="51" idx="2"/>
                          <a:endCxn id="65" idx="0"/>
                        </wps:cNvCnPr>
                        <wps:spPr bwMode="auto">
                          <a:xfrm>
                            <a:off x="2971038" y="631342"/>
                            <a:ext cx="1823380" cy="453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69"/>
                        <wps:cNvSpPr>
                          <a:spLocks noChangeArrowheads="1"/>
                        </wps:cNvSpPr>
                        <wps:spPr bwMode="auto">
                          <a:xfrm>
                            <a:off x="1882785" y="7321075"/>
                            <a:ext cx="1679820" cy="425051"/>
                          </a:xfrm>
                          <a:prstGeom prst="rect">
                            <a:avLst/>
                          </a:prstGeom>
                          <a:solidFill>
                            <a:srgbClr val="FFFFFF"/>
                          </a:solidFill>
                          <a:ln w="9525">
                            <a:solidFill>
                              <a:srgbClr val="000000"/>
                            </a:solidFill>
                            <a:miter lim="800000"/>
                            <a:headEnd/>
                            <a:tailEnd/>
                          </a:ln>
                        </wps:spPr>
                        <wps:txbx>
                          <w:txbxContent>
                            <w:p w:rsidR="005C379B" w:rsidRPr="00C65ABA" w:rsidRDefault="005C379B" w:rsidP="005C379B">
                              <w:pPr>
                                <w:jc w:val="center"/>
                                <w:rPr>
                                  <w:rFonts w:ascii="Times New Roman" w:hAnsi="Times New Roman"/>
                                  <w:sz w:val="20"/>
                                  <w:szCs w:val="20"/>
                                </w:rPr>
                              </w:pPr>
                              <w:r>
                                <w:rPr>
                                  <w:rFonts w:ascii="Times New Roman" w:hAnsi="Times New Roman"/>
                                  <w:sz w:val="20"/>
                                  <w:szCs w:val="20"/>
                                </w:rPr>
                                <w:t>Прочие доходы</w:t>
                              </w:r>
                            </w:p>
                          </w:txbxContent>
                        </wps:txbx>
                        <wps:bodyPr rot="0" vert="horz" wrap="square" lIns="91440" tIns="45720" rIns="91440" bIns="45720" anchor="t" anchorCtr="0" upright="1">
                          <a:noAutofit/>
                        </wps:bodyPr>
                      </wps:wsp>
                      <wps:wsp>
                        <wps:cNvPr id="73" name="Rectangle 70"/>
                        <wps:cNvSpPr>
                          <a:spLocks noChangeArrowheads="1"/>
                        </wps:cNvSpPr>
                        <wps:spPr bwMode="auto">
                          <a:xfrm>
                            <a:off x="3927281" y="4677825"/>
                            <a:ext cx="1733449" cy="847835"/>
                          </a:xfrm>
                          <a:prstGeom prst="rect">
                            <a:avLst/>
                          </a:prstGeom>
                          <a:solidFill>
                            <a:srgbClr val="FFFFFF"/>
                          </a:solidFill>
                          <a:ln w="9525">
                            <a:solidFill>
                              <a:srgbClr val="000000"/>
                            </a:solidFill>
                            <a:miter lim="800000"/>
                            <a:headEnd/>
                            <a:tailEnd/>
                          </a:ln>
                        </wps:spPr>
                        <wps:txbx>
                          <w:txbxContent>
                            <w:p w:rsidR="005C379B" w:rsidRPr="00C65ABA" w:rsidRDefault="005C379B" w:rsidP="005C379B">
                              <w:pPr>
                                <w:jc w:val="center"/>
                                <w:rPr>
                                  <w:rFonts w:ascii="Times New Roman" w:hAnsi="Times New Roman"/>
                                  <w:sz w:val="20"/>
                                  <w:szCs w:val="20"/>
                                </w:rPr>
                              </w:pPr>
                              <w:r>
                                <w:rPr>
                                  <w:rFonts w:ascii="Times New Roman" w:hAnsi="Times New Roman"/>
                                  <w:sz w:val="20"/>
                                  <w:szCs w:val="20"/>
                                </w:rPr>
                                <w:t>Иная финансовая помощь, в том числе по линии приоритетных проектов</w:t>
                              </w:r>
                            </w:p>
                          </w:txbxContent>
                        </wps:txbx>
                        <wps:bodyPr rot="0" vert="horz" wrap="square" lIns="91440" tIns="45720" rIns="91440" bIns="45720" anchor="t" anchorCtr="0" upright="1">
                          <a:noAutofit/>
                        </wps:bodyPr>
                      </wps:wsp>
                    </wpc:wpc>
                  </a:graphicData>
                </a:graphic>
              </wp:inline>
            </w:drawing>
          </mc:Choice>
          <mc:Fallback>
            <w:pict>
              <v:group id="Полотно 74" o:spid="_x0000_s1066" editas="canvas" style="width:467.75pt;height:633.85pt;mso-position-horizontal-relative:char;mso-position-vertical-relative:line" coordsize="59404,8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">
                <v:shape id="_x0000_s1067" type="#_x0000_t75" style="position:absolute;width:59404;height:80498;visibility:visible;mso-wrap-style:square">
                  <v:fill o:detectmouseclick="t"/>
                  <v:path o:connecttype="none"/>
                </v:shape>
                <v:rect id="Rectangle 48" o:spid="_x0000_s1068" style="position:absolute;left:9611;top:1348;width:40189;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5C379B" w:rsidRPr="004D06FD" w:rsidRDefault="005C379B" w:rsidP="005C379B">
                        <w:pPr>
                          <w:jc w:val="center"/>
                          <w:rPr>
                            <w:rFonts w:ascii="Times New Roman" w:hAnsi="Times New Roman"/>
                            <w:b/>
                            <w:sz w:val="20"/>
                            <w:szCs w:val="20"/>
                          </w:rPr>
                        </w:pPr>
                        <w:r w:rsidRPr="004D06FD">
                          <w:rPr>
                            <w:rFonts w:ascii="Times New Roman" w:hAnsi="Times New Roman"/>
                            <w:b/>
                            <w:sz w:val="20"/>
                            <w:szCs w:val="20"/>
                          </w:rPr>
                          <w:t>Доходы местных бюджетов</w:t>
                        </w:r>
                      </w:p>
                    </w:txbxContent>
                  </v:textbox>
                </v:rect>
                <v:rect id="Rectangle 49" o:spid="_x0000_s1069" style="position:absolute;left:1526;top:10847;width:12656;height:5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5C379B" w:rsidRPr="004D06FD" w:rsidRDefault="005C379B" w:rsidP="005C379B">
                        <w:pPr>
                          <w:jc w:val="center"/>
                          <w:rPr>
                            <w:rFonts w:ascii="Times New Roman" w:hAnsi="Times New Roman"/>
                            <w:b/>
                            <w:sz w:val="20"/>
                            <w:szCs w:val="20"/>
                          </w:rPr>
                        </w:pPr>
                        <w:r w:rsidRPr="004D06FD">
                          <w:rPr>
                            <w:rFonts w:ascii="Times New Roman" w:hAnsi="Times New Roman"/>
                            <w:b/>
                            <w:sz w:val="20"/>
                            <w:szCs w:val="20"/>
                          </w:rPr>
                          <w:t>Налоговые доходы</w:t>
                        </w:r>
                      </w:p>
                    </w:txbxContent>
                  </v:textbox>
                </v:rect>
                <v:rect id="Rectangle 50" o:spid="_x0000_s1070" style="position:absolute;left:1526;top:17557;width:12656;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Законодательно закрепленные доли федеральных налогов</w:t>
                        </w:r>
                      </w:p>
                    </w:txbxContent>
                  </v:textbox>
                </v:rect>
                <v:rect id="Rectangle 51" o:spid="_x0000_s1071" style="position:absolute;left:1526;top:26035;width:12656;height:10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Законодательно закрепленные доли региональных налогов</w:t>
                        </w:r>
                      </w:p>
                    </w:txbxContent>
                  </v:textbox>
                </v:rect>
                <v:rect id="Rectangle 52" o:spid="_x0000_s1072" style="position:absolute;left:1526;top:36554;width:12656;height:7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Отдельные виды государственной пошлины</w:t>
                        </w:r>
                      </w:p>
                    </w:txbxContent>
                  </v:textbox>
                </v:rect>
                <v:rect id="Rectangle 53" o:spid="_x0000_s1073" style="position:absolute;left:1526;top:44148;width:12656;height:9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5C379B" w:rsidRPr="004D06FD" w:rsidRDefault="005C379B" w:rsidP="005C379B">
                        <w:pPr>
                          <w:jc w:val="center"/>
                          <w:rPr>
                            <w:rFonts w:ascii="Times New Roman" w:hAnsi="Times New Roman"/>
                            <w:sz w:val="18"/>
                            <w:szCs w:val="18"/>
                          </w:rPr>
                        </w:pPr>
                        <w:r w:rsidRPr="004D06FD">
                          <w:rPr>
                            <w:rFonts w:ascii="Times New Roman" w:hAnsi="Times New Roman"/>
                            <w:sz w:val="18"/>
                            <w:szCs w:val="18"/>
                          </w:rPr>
                          <w:t>Пени и штрафы по местным и закрепленным нало</w:t>
                        </w:r>
                        <w:r>
                          <w:rPr>
                            <w:rFonts w:ascii="Times New Roman" w:hAnsi="Times New Roman"/>
                            <w:sz w:val="18"/>
                            <w:szCs w:val="18"/>
                          </w:rPr>
                          <w:t>г</w:t>
                        </w:r>
                        <w:r w:rsidRPr="004D06FD">
                          <w:rPr>
                            <w:rFonts w:ascii="Times New Roman" w:hAnsi="Times New Roman"/>
                            <w:sz w:val="18"/>
                            <w:szCs w:val="18"/>
                          </w:rPr>
                          <w:t>ам</w:t>
                        </w:r>
                      </w:p>
                      <w:p w:rsidR="005C379B" w:rsidRPr="004D06FD" w:rsidRDefault="005C379B" w:rsidP="005C379B">
                        <w:pPr>
                          <w:rPr>
                            <w:rFonts w:ascii="Times New Roman" w:hAnsi="Times New Roman"/>
                            <w:sz w:val="20"/>
                            <w:szCs w:val="20"/>
                          </w:rPr>
                        </w:pPr>
                      </w:p>
                    </w:txbxContent>
                  </v:textbox>
                </v:rect>
                <v:rect id="Rectangle 54" o:spid="_x0000_s1074" style="position:absolute;left:1526;top:53488;width:12656;height:10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Часть доходов от специальных налоговых режимов</w:t>
                        </w:r>
                      </w:p>
                    </w:txbxContent>
                  </v:textbox>
                </v:rect>
                <v:rect id="Rectangle 55" o:spid="_x0000_s1075" style="position:absolute;left:18827;top:10847;width:16799;height:5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5C379B" w:rsidRPr="004D06FD" w:rsidRDefault="005C379B" w:rsidP="005C379B">
                        <w:pPr>
                          <w:jc w:val="center"/>
                          <w:rPr>
                            <w:rFonts w:ascii="Times New Roman" w:hAnsi="Times New Roman"/>
                            <w:b/>
                            <w:sz w:val="20"/>
                            <w:szCs w:val="20"/>
                          </w:rPr>
                        </w:pPr>
                        <w:r w:rsidRPr="004D06FD">
                          <w:rPr>
                            <w:rFonts w:ascii="Times New Roman" w:hAnsi="Times New Roman"/>
                            <w:b/>
                            <w:sz w:val="20"/>
                            <w:szCs w:val="20"/>
                          </w:rPr>
                          <w:t>Неналоговые доходы</w:t>
                        </w:r>
                      </w:p>
                    </w:txbxContent>
                  </v:textbox>
                </v:rect>
                <v:rect id="Rectangle 56" o:spid="_x0000_s1076" style="position:absolute;left:18827;top:17557;width:16799;height:10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Доходы от использования муниципального имущества, включая землю</w:t>
                        </w:r>
                      </w:p>
                    </w:txbxContent>
                  </v:textbox>
                </v:rect>
                <v:rect id="Rectangle 57" o:spid="_x0000_s1077" style="position:absolute;left:18827;top:27781;width:16799;height:7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Доходы от продажи имущества, включая земельные участки</w:t>
                        </w:r>
                      </w:p>
                    </w:txbxContent>
                  </v:textbox>
                </v:rect>
                <v:rect id="Rectangle 58" o:spid="_x0000_s1078" style="position:absolute;left:18827;top:35534;width:16799;height:10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Доходы от платных услуг, оказываемых органами МСУ и муниципальными учреждениями</w:t>
                        </w:r>
                      </w:p>
                    </w:txbxContent>
                  </v:textbox>
                </v:rect>
                <v:rect id="Rectangle 59" o:spid="_x0000_s1079" style="position:absolute;left:18827;top:45622;width:16799;height:7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Часть прибыли муниципальных предприятий</w:t>
                        </w:r>
                      </w:p>
                    </w:txbxContent>
                  </v:textbox>
                </v:rect>
                <v:rect id="Rectangle 60" o:spid="_x0000_s1080" style="position:absolute;left:18827;top:53488;width:1679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Плата за негативное воздействие на окружающую среду ( для городских  округов и муниципальных районов)</w:t>
                        </w:r>
                      </w:p>
                    </w:txbxContent>
                  </v:textbox>
                </v:rect>
                <v:rect id="Rectangle 61" o:spid="_x0000_s1081" style="position:absolute;left:18827;top:65627;width:16799;height:7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5C379B" w:rsidRPr="004D06FD" w:rsidRDefault="005C379B" w:rsidP="005C379B">
                        <w:pPr>
                          <w:jc w:val="center"/>
                          <w:rPr>
                            <w:rFonts w:ascii="Times New Roman" w:hAnsi="Times New Roman"/>
                            <w:sz w:val="20"/>
                            <w:szCs w:val="20"/>
                          </w:rPr>
                        </w:pPr>
                        <w:r>
                          <w:rPr>
                            <w:rFonts w:ascii="Times New Roman" w:hAnsi="Times New Roman"/>
                            <w:sz w:val="20"/>
                            <w:szCs w:val="20"/>
                          </w:rPr>
                          <w:t>Средства самообложения граждан</w:t>
                        </w:r>
                      </w:p>
                    </w:txbxContent>
                  </v:textbox>
                </v:rect>
                <v:rect id="Rectangle 62" o:spid="_x0000_s1082" style="position:absolute;left:39272;top:10847;width:17335;height:8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5C379B" w:rsidRPr="00C65ABA" w:rsidRDefault="005C379B" w:rsidP="005C379B">
                        <w:pPr>
                          <w:jc w:val="center"/>
                          <w:rPr>
                            <w:rFonts w:ascii="Times New Roman" w:hAnsi="Times New Roman"/>
                            <w:b/>
                            <w:sz w:val="20"/>
                            <w:szCs w:val="20"/>
                          </w:rPr>
                        </w:pPr>
                        <w:r>
                          <w:rPr>
                            <w:rFonts w:ascii="Times New Roman" w:hAnsi="Times New Roman"/>
                            <w:b/>
                            <w:sz w:val="20"/>
                            <w:szCs w:val="20"/>
                          </w:rPr>
                          <w:t>Безвозмездные поступления из бюджета других уровней</w:t>
                        </w:r>
                      </w:p>
                    </w:txbxContent>
                  </v:textbox>
                </v:rect>
                <v:rect id="Rectangle 63" o:spid="_x0000_s1083" style="position:absolute;left:39272;top:19756;width:17335;height:6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5C379B" w:rsidRPr="00C65ABA" w:rsidRDefault="005C379B" w:rsidP="005C379B">
                        <w:pPr>
                          <w:spacing w:after="0" w:line="240" w:lineRule="auto"/>
                          <w:jc w:val="center"/>
                          <w:rPr>
                            <w:rFonts w:ascii="Times New Roman" w:hAnsi="Times New Roman"/>
                            <w:sz w:val="20"/>
                            <w:szCs w:val="20"/>
                          </w:rPr>
                        </w:pPr>
                        <w:r w:rsidRPr="00C65ABA">
                          <w:rPr>
                            <w:rFonts w:ascii="Times New Roman" w:hAnsi="Times New Roman"/>
                            <w:sz w:val="20"/>
                            <w:szCs w:val="20"/>
                          </w:rPr>
                          <w:t xml:space="preserve">Дотации на выравнивание бюджетной обеспеченности </w:t>
                        </w:r>
                      </w:p>
                    </w:txbxContent>
                  </v:textbox>
                </v:rect>
                <v:rect id="Rectangle 64" o:spid="_x0000_s1084" style="position:absolute;left:39272;top:26035;width:17335;height:10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5C379B" w:rsidRPr="00C65ABA" w:rsidRDefault="005C379B" w:rsidP="005C379B">
                        <w:pPr>
                          <w:jc w:val="center"/>
                          <w:rPr>
                            <w:rFonts w:ascii="Times New Roman" w:hAnsi="Times New Roman"/>
                            <w:sz w:val="20"/>
                            <w:szCs w:val="20"/>
                          </w:rPr>
                        </w:pPr>
                        <w:r>
                          <w:rPr>
                            <w:rFonts w:ascii="Times New Roman" w:hAnsi="Times New Roman"/>
                            <w:sz w:val="20"/>
                            <w:szCs w:val="20"/>
                          </w:rPr>
                          <w:t>Субсидии для долевого финансирования расходных обязательств по вопросам местного значения</w:t>
                        </w:r>
                      </w:p>
                    </w:txbxContent>
                  </v:textbox>
                </v:rect>
                <v:rect id="Rectangle 65" o:spid="_x0000_s1085" style="position:absolute;left:39272;top:36554;width:17335;height:10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5C379B" w:rsidRPr="00C65ABA" w:rsidRDefault="005C379B" w:rsidP="005C379B">
                        <w:pPr>
                          <w:jc w:val="center"/>
                          <w:rPr>
                            <w:rFonts w:ascii="Times New Roman" w:hAnsi="Times New Roman"/>
                            <w:sz w:val="20"/>
                            <w:szCs w:val="20"/>
                          </w:rPr>
                        </w:pPr>
                        <w:r>
                          <w:rPr>
                            <w:rFonts w:ascii="Times New Roman" w:hAnsi="Times New Roman"/>
                            <w:sz w:val="20"/>
                            <w:szCs w:val="20"/>
                          </w:rPr>
                          <w:t>Субвенции на осуществление отдельных государственных полномочий</w:t>
                        </w:r>
                      </w:p>
                    </w:txbxContent>
                  </v:textbox>
                </v:rect>
                <v:shape id="AutoShape 66" o:spid="_x0000_s1086" type="#_x0000_t32" style="position:absolute;left:7854;top:6313;width:21856;height:45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67" o:spid="_x0000_s1087" type="#_x0000_t32" style="position:absolute;left:27226;top:6313;width:2484;height:45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shape id="AutoShape 68" o:spid="_x0000_s1088" type="#_x0000_t32" style="position:absolute;left:29710;top:6313;width:18234;height:4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rect id="Rectangle 69" o:spid="_x0000_s1089" style="position:absolute;left:18827;top:73210;width:16799;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5C379B" w:rsidRPr="00C65ABA" w:rsidRDefault="005C379B" w:rsidP="005C379B">
                        <w:pPr>
                          <w:jc w:val="center"/>
                          <w:rPr>
                            <w:rFonts w:ascii="Times New Roman" w:hAnsi="Times New Roman"/>
                            <w:sz w:val="20"/>
                            <w:szCs w:val="20"/>
                          </w:rPr>
                        </w:pPr>
                        <w:r>
                          <w:rPr>
                            <w:rFonts w:ascii="Times New Roman" w:hAnsi="Times New Roman"/>
                            <w:sz w:val="20"/>
                            <w:szCs w:val="20"/>
                          </w:rPr>
                          <w:t>Прочие доходы</w:t>
                        </w:r>
                      </w:p>
                    </w:txbxContent>
                  </v:textbox>
                </v:rect>
                <v:rect id="Rectangle 70" o:spid="_x0000_s1090" style="position:absolute;left:39272;top:46778;width:17335;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5C379B" w:rsidRPr="00C65ABA" w:rsidRDefault="005C379B" w:rsidP="005C379B">
                        <w:pPr>
                          <w:jc w:val="center"/>
                          <w:rPr>
                            <w:rFonts w:ascii="Times New Roman" w:hAnsi="Times New Roman"/>
                            <w:sz w:val="20"/>
                            <w:szCs w:val="20"/>
                          </w:rPr>
                        </w:pPr>
                        <w:r>
                          <w:rPr>
                            <w:rFonts w:ascii="Times New Roman" w:hAnsi="Times New Roman"/>
                            <w:sz w:val="20"/>
                            <w:szCs w:val="20"/>
                          </w:rPr>
                          <w:t>Иная финансовая помощь, в том числе по линии приоритетных проектов</w:t>
                        </w:r>
                      </w:p>
                    </w:txbxContent>
                  </v:textbox>
                </v:rect>
                <w10:anchorlock/>
              </v:group>
            </w:pict>
          </mc:Fallback>
        </mc:AlternateConten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Рисунок 5.1 Доходы местных бюджетов</w:t>
      </w:r>
    </w:p>
    <w:p w:rsidR="005C379B" w:rsidRPr="005C379B" w:rsidRDefault="005C379B" w:rsidP="005C379B">
      <w:pPr>
        <w:widowControl w:val="0"/>
        <w:spacing w:line="240" w:lineRule="auto"/>
        <w:rPr>
          <w:rFonts w:ascii="Times New Roman" w:eastAsia="Calibri" w:hAnsi="Times New Roman" w:cs="Times New Roman"/>
          <w:noProof/>
          <w:sz w:val="28"/>
          <w:szCs w:val="28"/>
        </w:rPr>
      </w:pPr>
      <w:r w:rsidRPr="005C379B">
        <w:rPr>
          <w:rFonts w:ascii="Times New Roman" w:eastAsia="Calibri" w:hAnsi="Times New Roman" w:cs="Times New Roman"/>
          <w:noProof/>
          <w:sz w:val="28"/>
          <w:szCs w:val="28"/>
          <w:lang w:eastAsia="ru-RU"/>
        </w:rPr>
        <w:lastRenderedPageBreak/>
        <w:drawing>
          <wp:anchor distT="0" distB="0" distL="114300" distR="114300" simplePos="0" relativeHeight="251661312" behindDoc="0" locked="0" layoutInCell="1" allowOverlap="1" wp14:anchorId="614E6D7C" wp14:editId="18CB10F4">
            <wp:simplePos x="0" y="0"/>
            <wp:positionH relativeFrom="column">
              <wp:posOffset>-101940</wp:posOffset>
            </wp:positionH>
            <wp:positionV relativeFrom="paragraph">
              <wp:posOffset>191859</wp:posOffset>
            </wp:positionV>
            <wp:extent cx="6049926" cy="289205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cstate="print"/>
                    <a:srcRect/>
                    <a:stretch>
                      <a:fillRect/>
                    </a:stretch>
                  </pic:blipFill>
                  <pic:spPr bwMode="auto">
                    <a:xfrm>
                      <a:off x="0" y="0"/>
                      <a:ext cx="6049926" cy="2892055"/>
                    </a:xfrm>
                    <a:prstGeom prst="rect">
                      <a:avLst/>
                    </a:prstGeom>
                    <a:noFill/>
                    <a:ln w="9525">
                      <a:noFill/>
                      <a:miter lim="800000"/>
                      <a:headEnd/>
                      <a:tailEnd/>
                    </a:ln>
                    <a:effectLst/>
                  </pic:spPr>
                </pic:pic>
              </a:graphicData>
            </a:graphic>
          </wp:anchor>
        </w:drawing>
      </w:r>
      <w:r>
        <w:rPr>
          <w:rFonts w:ascii="Times New Roman" w:eastAsia="Calibri" w:hAnsi="Times New Roman" w:cs="Times New Roman"/>
          <w:noProof/>
          <w:sz w:val="28"/>
          <w:szCs w:val="28"/>
          <w:lang w:eastAsia="ru-RU"/>
        </w:rPr>
        <mc:AlternateContent>
          <mc:Choice Requires="wpc">
            <w:drawing>
              <wp:inline distT="0" distB="0" distL="0" distR="0">
                <wp:extent cx="5940425" cy="2924175"/>
                <wp:effectExtent l="3810" t="0" r="0" b="3810"/>
                <wp:docPr id="50" name="Полотно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50" o:spid="_x0000_s1026" editas="canvas" style="width:467.75pt;height:230.25pt;mso-position-horizontal-relative:char;mso-position-vertical-relative:line" coordsize="59404,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">
                <v:shape id="_x0000_s1027" type="#_x0000_t75" style="position:absolute;width:59404;height:29241;visibility:visible;mso-wrap-style:square">
                  <v:fill o:detectmouseclick="t"/>
                  <v:path o:connecttype="none"/>
                </v:shape>
                <w10:anchorlock/>
              </v:group>
            </w:pict>
          </mc:Fallback>
        </mc:AlternateConten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Рисунок 5.2 Доходы г. Иркутска в 2013г. и в прогнозе 2014 г. в млн. руб.</w:t>
      </w: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tabs>
          <w:tab w:val="left" w:pos="851"/>
          <w:tab w:val="left" w:pos="1134"/>
        </w:tabs>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lastRenderedPageBreak/>
        <w:t>Тема 6. Расходы местных бюджетов.</w:t>
      </w:r>
    </w:p>
    <w:tbl>
      <w:tblPr>
        <w:tblStyle w:val="a3"/>
        <w:tblW w:w="0" w:type="auto"/>
        <w:tblLook w:val="04A0" w:firstRow="1" w:lastRow="0" w:firstColumn="1" w:lastColumn="0" w:noHBand="0" w:noVBand="1"/>
      </w:tblPr>
      <w:tblGrid>
        <w:gridCol w:w="9571"/>
      </w:tblGrid>
      <w:tr w:rsidR="005C379B" w:rsidRPr="005C379B" w:rsidTr="00A81396">
        <w:tc>
          <w:tcPr>
            <w:tcW w:w="9571" w:type="dxa"/>
          </w:tcPr>
          <w:p w:rsidR="005C379B" w:rsidRPr="005C379B" w:rsidRDefault="005C379B" w:rsidP="005C379B">
            <w:pPr>
              <w:contextualSpacing/>
              <w:jc w:val="center"/>
              <w:rPr>
                <w:rFonts w:ascii="Times New Roman" w:eastAsia="Calibri" w:hAnsi="Times New Roman" w:cs="Times New Roman"/>
                <w:b/>
                <w:color w:val="252525"/>
                <w:sz w:val="28"/>
                <w:szCs w:val="28"/>
              </w:rPr>
            </w:pPr>
            <w:r w:rsidRPr="005C379B">
              <w:rPr>
                <w:rFonts w:ascii="Times New Roman" w:eastAsia="Calibri" w:hAnsi="Times New Roman" w:cs="Times New Roman"/>
                <w:b/>
                <w:color w:val="252525"/>
                <w:sz w:val="28"/>
                <w:szCs w:val="28"/>
              </w:rPr>
              <w:t>Виды расходов местных бюджетов</w:t>
            </w:r>
          </w:p>
        </w:tc>
      </w:tr>
      <w:tr w:rsidR="005C379B" w:rsidRPr="005C379B" w:rsidTr="00A81396">
        <w:tc>
          <w:tcPr>
            <w:tcW w:w="9571" w:type="dxa"/>
          </w:tcPr>
          <w:p w:rsidR="005C379B" w:rsidRPr="005C379B" w:rsidRDefault="005C379B" w:rsidP="005C379B">
            <w:pPr>
              <w:contextualSpacing/>
              <w:jc w:val="both"/>
              <w:rPr>
                <w:rFonts w:ascii="Times New Roman" w:eastAsia="Times New Roman" w:hAnsi="Times New Roman" w:cs="Times New Roman"/>
                <w:i/>
                <w:color w:val="252525"/>
                <w:sz w:val="28"/>
                <w:szCs w:val="28"/>
              </w:rPr>
            </w:pPr>
            <w:r w:rsidRPr="005C379B">
              <w:rPr>
                <w:rFonts w:ascii="Times New Roman" w:eastAsia="Times New Roman" w:hAnsi="Times New Roman" w:cs="Times New Roman"/>
                <w:i/>
                <w:color w:val="252525"/>
                <w:sz w:val="28"/>
                <w:szCs w:val="28"/>
              </w:rPr>
              <w:t>Текущие расходы:</w:t>
            </w:r>
          </w:p>
          <w:p w:rsidR="005C379B" w:rsidRPr="005C379B" w:rsidRDefault="005C379B" w:rsidP="005C379B">
            <w:pPr>
              <w:numPr>
                <w:ilvl w:val="0"/>
                <w:numId w:val="2"/>
              </w:numPr>
              <w:tabs>
                <w:tab w:val="num" w:pos="459"/>
              </w:tabs>
              <w:contextualSpacing/>
              <w:jc w:val="both"/>
              <w:rPr>
                <w:rFonts w:ascii="Times New Roman" w:eastAsia="Times New Roman" w:hAnsi="Times New Roman" w:cs="Times New Roman"/>
                <w:color w:val="252525"/>
                <w:sz w:val="28"/>
                <w:szCs w:val="28"/>
              </w:rPr>
            </w:pPr>
            <w:r w:rsidRPr="005C379B">
              <w:rPr>
                <w:rFonts w:ascii="Times New Roman" w:eastAsia="Times New Roman" w:hAnsi="Times New Roman" w:cs="Times New Roman"/>
                <w:color w:val="252525"/>
                <w:sz w:val="28"/>
                <w:szCs w:val="28"/>
              </w:rPr>
              <w:t>содержание органов местного самоуправления;</w:t>
            </w:r>
          </w:p>
          <w:p w:rsidR="005C379B" w:rsidRPr="005C379B" w:rsidRDefault="005C379B" w:rsidP="005C379B">
            <w:pPr>
              <w:numPr>
                <w:ilvl w:val="0"/>
                <w:numId w:val="2"/>
              </w:numPr>
              <w:tabs>
                <w:tab w:val="num" w:pos="459"/>
              </w:tabs>
              <w:contextualSpacing/>
              <w:jc w:val="both"/>
              <w:rPr>
                <w:rFonts w:ascii="Times New Roman" w:eastAsia="Times New Roman" w:hAnsi="Times New Roman" w:cs="Times New Roman"/>
                <w:sz w:val="28"/>
                <w:szCs w:val="28"/>
              </w:rPr>
            </w:pPr>
            <w:r w:rsidRPr="005C379B">
              <w:rPr>
                <w:rFonts w:ascii="Times New Roman" w:eastAsia="Times New Roman" w:hAnsi="Times New Roman" w:cs="Times New Roman"/>
                <w:color w:val="252525"/>
                <w:sz w:val="28"/>
                <w:szCs w:val="28"/>
              </w:rPr>
              <w:t xml:space="preserve">формирование муниципальной </w:t>
            </w:r>
            <w:r w:rsidRPr="005C379B">
              <w:rPr>
                <w:rFonts w:ascii="Times New Roman" w:eastAsia="Times New Roman" w:hAnsi="Times New Roman" w:cs="Times New Roman"/>
                <w:sz w:val="28"/>
                <w:szCs w:val="28"/>
              </w:rPr>
              <w:t>собственности и управление ею;</w:t>
            </w:r>
          </w:p>
          <w:p w:rsidR="005C379B" w:rsidRPr="005C379B" w:rsidRDefault="005C379B" w:rsidP="005C379B">
            <w:pPr>
              <w:numPr>
                <w:ilvl w:val="0"/>
                <w:numId w:val="2"/>
              </w:numPr>
              <w:tabs>
                <w:tab w:val="num" w:pos="459"/>
              </w:tabs>
              <w:contextualSpacing/>
              <w:jc w:val="both"/>
              <w:rPr>
                <w:rFonts w:ascii="Times New Roman" w:eastAsia="Times New Roman" w:hAnsi="Times New Roman" w:cs="Times New Roman"/>
                <w:sz w:val="28"/>
                <w:szCs w:val="28"/>
              </w:rPr>
            </w:pPr>
            <w:r w:rsidRPr="005C379B">
              <w:rPr>
                <w:rFonts w:ascii="Times New Roman" w:eastAsia="Times New Roman" w:hAnsi="Times New Roman" w:cs="Times New Roman"/>
                <w:sz w:val="28"/>
                <w:szCs w:val="28"/>
              </w:rPr>
              <w:t>организация, содержание и развитие учреждений </w:t>
            </w:r>
            <w:hyperlink r:id="rId9" w:tooltip="Образование" w:history="1">
              <w:r w:rsidRPr="005C379B">
                <w:rPr>
                  <w:rFonts w:ascii="Times New Roman" w:eastAsia="Times New Roman" w:hAnsi="Times New Roman" w:cs="Times New Roman"/>
                  <w:sz w:val="28"/>
                  <w:szCs w:val="28"/>
                </w:rPr>
                <w:t>образования</w:t>
              </w:r>
            </w:hyperlink>
            <w:r w:rsidRPr="005C379B">
              <w:rPr>
                <w:rFonts w:ascii="Times New Roman" w:eastAsia="Times New Roman" w:hAnsi="Times New Roman" w:cs="Times New Roman"/>
                <w:sz w:val="28"/>
                <w:szCs w:val="28"/>
              </w:rPr>
              <w:t>, </w:t>
            </w:r>
            <w:hyperlink r:id="rId10" w:tooltip="Культура" w:history="1">
              <w:r w:rsidRPr="005C379B">
                <w:rPr>
                  <w:rFonts w:ascii="Times New Roman" w:eastAsia="Times New Roman" w:hAnsi="Times New Roman" w:cs="Times New Roman"/>
                  <w:sz w:val="28"/>
                  <w:szCs w:val="28"/>
                </w:rPr>
                <w:t>культуры</w:t>
              </w:r>
            </w:hyperlink>
            <w:r w:rsidRPr="005C379B">
              <w:rPr>
                <w:rFonts w:ascii="Times New Roman" w:eastAsia="Times New Roman" w:hAnsi="Times New Roman" w:cs="Times New Roman"/>
                <w:sz w:val="28"/>
                <w:szCs w:val="28"/>
              </w:rPr>
              <w:t>, физической культуры и </w:t>
            </w:r>
            <w:hyperlink r:id="rId11" w:tooltip="Спорт" w:history="1">
              <w:r w:rsidRPr="005C379B">
                <w:rPr>
                  <w:rFonts w:ascii="Times New Roman" w:eastAsia="Times New Roman" w:hAnsi="Times New Roman" w:cs="Times New Roman"/>
                  <w:sz w:val="28"/>
                  <w:szCs w:val="28"/>
                </w:rPr>
                <w:t>спорта</w:t>
              </w:r>
            </w:hyperlink>
            <w:r w:rsidRPr="005C379B">
              <w:rPr>
                <w:rFonts w:ascii="Times New Roman" w:eastAsia="Times New Roman" w:hAnsi="Times New Roman" w:cs="Times New Roman"/>
                <w:sz w:val="28"/>
                <w:szCs w:val="28"/>
              </w:rPr>
              <w:t>, средств массовой коммуникации, других учреждений, находящихся в муниципальной собственности или в ведении органов местного самоуправления;</w:t>
            </w:r>
          </w:p>
          <w:p w:rsidR="005C379B" w:rsidRPr="005C379B" w:rsidRDefault="005C379B" w:rsidP="005C379B">
            <w:pPr>
              <w:numPr>
                <w:ilvl w:val="0"/>
                <w:numId w:val="2"/>
              </w:numPr>
              <w:tabs>
                <w:tab w:val="num" w:pos="459"/>
              </w:tabs>
              <w:contextualSpacing/>
              <w:jc w:val="both"/>
              <w:rPr>
                <w:rFonts w:ascii="Times New Roman" w:eastAsia="Times New Roman" w:hAnsi="Times New Roman" w:cs="Times New Roman"/>
                <w:sz w:val="28"/>
                <w:szCs w:val="28"/>
              </w:rPr>
            </w:pPr>
            <w:r w:rsidRPr="005C379B">
              <w:rPr>
                <w:rFonts w:ascii="Times New Roman" w:eastAsia="Times New Roman" w:hAnsi="Times New Roman" w:cs="Times New Roman"/>
                <w:sz w:val="28"/>
                <w:szCs w:val="28"/>
              </w:rPr>
              <w:t>содержание муниципальных органов </w:t>
            </w:r>
            <w:hyperlink r:id="rId12" w:tooltip="Охрана общественного порядка (страница отсутствует)" w:history="1">
              <w:r w:rsidRPr="005C379B">
                <w:rPr>
                  <w:rFonts w:ascii="Times New Roman" w:eastAsia="Times New Roman" w:hAnsi="Times New Roman" w:cs="Times New Roman"/>
                  <w:sz w:val="28"/>
                  <w:szCs w:val="28"/>
                </w:rPr>
                <w:t>охраны общественного порядка</w:t>
              </w:r>
            </w:hyperlink>
            <w:r w:rsidRPr="005C379B">
              <w:rPr>
                <w:rFonts w:ascii="Times New Roman" w:eastAsia="Times New Roman" w:hAnsi="Times New Roman" w:cs="Times New Roman"/>
                <w:sz w:val="28"/>
                <w:szCs w:val="28"/>
              </w:rPr>
              <w:t>;</w:t>
            </w:r>
          </w:p>
          <w:p w:rsidR="005C379B" w:rsidRPr="005C379B" w:rsidRDefault="005C379B" w:rsidP="005C379B">
            <w:pPr>
              <w:tabs>
                <w:tab w:val="num" w:pos="459"/>
              </w:tabs>
              <w:contextualSpacing/>
              <w:jc w:val="both"/>
              <w:rPr>
                <w:rFonts w:ascii="Times New Roman" w:eastAsia="Times New Roman" w:hAnsi="Times New Roman" w:cs="Times New Roman"/>
                <w:sz w:val="28"/>
                <w:szCs w:val="28"/>
              </w:rPr>
            </w:pPr>
            <w:r w:rsidRPr="005C379B">
              <w:rPr>
                <w:rFonts w:ascii="Times New Roman" w:eastAsia="Times New Roman" w:hAnsi="Times New Roman" w:cs="Times New Roman"/>
                <w:sz w:val="28"/>
                <w:szCs w:val="28"/>
              </w:rPr>
              <w:t>организация, содержание и развитие муниципального </w:t>
            </w:r>
            <w:hyperlink r:id="rId13" w:tooltip="Жилищно-коммунальное хозяйство" w:history="1">
              <w:r w:rsidRPr="005C379B">
                <w:rPr>
                  <w:rFonts w:ascii="Times New Roman" w:eastAsia="Times New Roman" w:hAnsi="Times New Roman" w:cs="Times New Roman"/>
                  <w:sz w:val="28"/>
                  <w:szCs w:val="28"/>
                </w:rPr>
                <w:t>жилищно-коммунального хозяйства</w:t>
              </w:r>
            </w:hyperlink>
            <w:r w:rsidRPr="005C379B">
              <w:rPr>
                <w:rFonts w:ascii="Times New Roman" w:eastAsia="Times New Roman" w:hAnsi="Times New Roman" w:cs="Times New Roman"/>
                <w:sz w:val="28"/>
                <w:szCs w:val="28"/>
              </w:rPr>
              <w:t>;</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sz w:val="28"/>
                <w:szCs w:val="28"/>
              </w:rPr>
            </w:pPr>
            <w:r w:rsidRPr="005C379B">
              <w:rPr>
                <w:rFonts w:ascii="Times New Roman" w:eastAsia="Times New Roman" w:hAnsi="Times New Roman" w:cs="Times New Roman"/>
                <w:sz w:val="28"/>
                <w:szCs w:val="28"/>
              </w:rPr>
              <w:t>муниципальное дорожное строительство и содержание дорог местного значения;</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sz w:val="28"/>
                <w:szCs w:val="28"/>
              </w:rPr>
            </w:pPr>
            <w:r w:rsidRPr="005C379B">
              <w:rPr>
                <w:rFonts w:ascii="Times New Roman" w:eastAsia="Times New Roman" w:hAnsi="Times New Roman" w:cs="Times New Roman"/>
                <w:sz w:val="28"/>
                <w:szCs w:val="28"/>
              </w:rPr>
              <w:t>благоустройство и озеленение территорий муниципальных образований;</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sz w:val="28"/>
                <w:szCs w:val="28"/>
              </w:rPr>
            </w:pPr>
            <w:r w:rsidRPr="005C379B">
              <w:rPr>
                <w:rFonts w:ascii="Times New Roman" w:eastAsia="Times New Roman" w:hAnsi="Times New Roman" w:cs="Times New Roman"/>
                <w:sz w:val="28"/>
                <w:szCs w:val="28"/>
              </w:rPr>
              <w:t>организация утилизации и переработки бытовых отходов;</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color w:val="252525"/>
                <w:sz w:val="28"/>
                <w:szCs w:val="28"/>
              </w:rPr>
            </w:pPr>
            <w:r w:rsidRPr="005C379B">
              <w:rPr>
                <w:rFonts w:ascii="Times New Roman" w:eastAsia="Times New Roman" w:hAnsi="Times New Roman" w:cs="Times New Roman"/>
                <w:sz w:val="28"/>
                <w:szCs w:val="28"/>
              </w:rPr>
              <w:t xml:space="preserve">содержание мест захоронения, находящихся в ведении муниципальных </w:t>
            </w:r>
            <w:r w:rsidRPr="005C379B">
              <w:rPr>
                <w:rFonts w:ascii="Times New Roman" w:eastAsia="Times New Roman" w:hAnsi="Times New Roman" w:cs="Times New Roman"/>
                <w:color w:val="252525"/>
                <w:sz w:val="28"/>
                <w:szCs w:val="28"/>
              </w:rPr>
              <w:t>органов;</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color w:val="252525"/>
                <w:sz w:val="28"/>
                <w:szCs w:val="28"/>
              </w:rPr>
            </w:pPr>
            <w:r w:rsidRPr="005C379B">
              <w:rPr>
                <w:rFonts w:ascii="Times New Roman" w:eastAsia="Times New Roman" w:hAnsi="Times New Roman" w:cs="Times New Roman"/>
                <w:color w:val="252525"/>
                <w:sz w:val="28"/>
                <w:szCs w:val="28"/>
              </w:rPr>
              <w:t>организация транспортного обслуживания населения и учреждений, находящихся в муниципальной собственности;</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color w:val="252525"/>
                <w:sz w:val="28"/>
                <w:szCs w:val="28"/>
              </w:rPr>
            </w:pPr>
            <w:r w:rsidRPr="005C379B">
              <w:rPr>
                <w:rFonts w:ascii="Times New Roman" w:eastAsia="Times New Roman" w:hAnsi="Times New Roman" w:cs="Times New Roman"/>
                <w:color w:val="252525"/>
                <w:sz w:val="28"/>
                <w:szCs w:val="28"/>
              </w:rPr>
              <w:t>обеспечение противопожарной безопасности;</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color w:val="252525"/>
                <w:sz w:val="28"/>
                <w:szCs w:val="28"/>
              </w:rPr>
            </w:pPr>
            <w:r w:rsidRPr="005C379B">
              <w:rPr>
                <w:rFonts w:ascii="Times New Roman" w:eastAsia="Times New Roman" w:hAnsi="Times New Roman" w:cs="Times New Roman"/>
                <w:color w:val="252525"/>
                <w:sz w:val="28"/>
                <w:szCs w:val="28"/>
              </w:rPr>
              <w:t>охрана окружающей среды на территории муниципальных образований;</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color w:val="252525"/>
                <w:sz w:val="28"/>
                <w:szCs w:val="28"/>
              </w:rPr>
            </w:pPr>
            <w:r w:rsidRPr="005C379B">
              <w:rPr>
                <w:rFonts w:ascii="Times New Roman" w:eastAsia="Times New Roman" w:hAnsi="Times New Roman" w:cs="Times New Roman"/>
                <w:color w:val="252525"/>
                <w:sz w:val="28"/>
                <w:szCs w:val="28"/>
              </w:rPr>
              <w:t>реализация целевых программ, принимаемых органами местного самоуправления;</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color w:val="252525"/>
                <w:sz w:val="28"/>
                <w:szCs w:val="28"/>
              </w:rPr>
            </w:pPr>
            <w:r w:rsidRPr="005C379B">
              <w:rPr>
                <w:rFonts w:ascii="Times New Roman" w:eastAsia="Times New Roman" w:hAnsi="Times New Roman" w:cs="Times New Roman"/>
                <w:color w:val="252525"/>
                <w:sz w:val="28"/>
                <w:szCs w:val="28"/>
              </w:rPr>
              <w:t>обслуживание и погашение муниципального долга;</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color w:val="252525"/>
                <w:sz w:val="28"/>
                <w:szCs w:val="28"/>
              </w:rPr>
            </w:pPr>
            <w:r w:rsidRPr="005C379B">
              <w:rPr>
                <w:rFonts w:ascii="Times New Roman" w:eastAsia="Times New Roman" w:hAnsi="Times New Roman" w:cs="Times New Roman"/>
                <w:color w:val="252525"/>
                <w:sz w:val="28"/>
                <w:szCs w:val="28"/>
              </w:rPr>
              <w:t>целевое дотирование населения;</w:t>
            </w:r>
          </w:p>
          <w:p w:rsidR="005C379B" w:rsidRPr="005C379B" w:rsidRDefault="005C379B" w:rsidP="005C379B">
            <w:pPr>
              <w:numPr>
                <w:ilvl w:val="0"/>
                <w:numId w:val="3"/>
              </w:numPr>
              <w:tabs>
                <w:tab w:val="num" w:pos="459"/>
              </w:tabs>
              <w:contextualSpacing/>
              <w:jc w:val="both"/>
              <w:rPr>
                <w:rFonts w:ascii="Times New Roman" w:eastAsia="Times New Roman" w:hAnsi="Times New Roman" w:cs="Times New Roman"/>
                <w:color w:val="252525"/>
                <w:sz w:val="28"/>
                <w:szCs w:val="28"/>
              </w:rPr>
            </w:pPr>
            <w:r w:rsidRPr="005C379B">
              <w:rPr>
                <w:rFonts w:ascii="Times New Roman" w:eastAsia="Times New Roman" w:hAnsi="Times New Roman" w:cs="Times New Roman"/>
                <w:color w:val="252525"/>
                <w:sz w:val="28"/>
                <w:szCs w:val="28"/>
              </w:rPr>
              <w:t>содержание муниципальных архивов;</w:t>
            </w:r>
          </w:p>
          <w:p w:rsidR="005C379B" w:rsidRPr="005C379B" w:rsidRDefault="005C379B" w:rsidP="005C379B">
            <w:pPr>
              <w:numPr>
                <w:ilvl w:val="0"/>
                <w:numId w:val="3"/>
              </w:numPr>
              <w:tabs>
                <w:tab w:val="num" w:pos="459"/>
              </w:tabs>
              <w:contextualSpacing/>
              <w:jc w:val="both"/>
              <w:rPr>
                <w:rFonts w:ascii="Times New Roman" w:eastAsia="Calibri" w:hAnsi="Times New Roman" w:cs="Times New Roman"/>
                <w:b/>
                <w:color w:val="252525"/>
                <w:sz w:val="28"/>
                <w:szCs w:val="28"/>
              </w:rPr>
            </w:pPr>
            <w:r w:rsidRPr="005C379B">
              <w:rPr>
                <w:rFonts w:ascii="Times New Roman" w:eastAsia="Times New Roman" w:hAnsi="Times New Roman" w:cs="Times New Roman"/>
                <w:color w:val="252525"/>
                <w:sz w:val="28"/>
                <w:szCs w:val="28"/>
              </w:rPr>
              <w:t>проведение муниципальных выборов и местных референдумов.</w:t>
            </w:r>
          </w:p>
          <w:p w:rsidR="005C379B" w:rsidRPr="005C379B" w:rsidRDefault="005C379B" w:rsidP="005C379B">
            <w:pPr>
              <w:contextualSpacing/>
              <w:jc w:val="both"/>
              <w:rPr>
                <w:rFonts w:ascii="Times New Roman" w:eastAsia="Times New Roman" w:hAnsi="Times New Roman" w:cs="Times New Roman"/>
                <w:i/>
                <w:sz w:val="28"/>
                <w:szCs w:val="28"/>
              </w:rPr>
            </w:pPr>
            <w:r w:rsidRPr="005C379B">
              <w:rPr>
                <w:rFonts w:ascii="Times New Roman" w:eastAsia="Times New Roman" w:hAnsi="Times New Roman" w:cs="Times New Roman"/>
                <w:i/>
                <w:sz w:val="28"/>
                <w:szCs w:val="28"/>
              </w:rPr>
              <w:t>Капитальные расходы:</w:t>
            </w:r>
          </w:p>
          <w:p w:rsidR="005C379B" w:rsidRPr="005C379B" w:rsidRDefault="005C379B" w:rsidP="005C379B">
            <w:pPr>
              <w:contextualSpacing/>
              <w:jc w:val="both"/>
              <w:rPr>
                <w:rFonts w:ascii="Times New Roman" w:eastAsia="Times New Roman" w:hAnsi="Times New Roman" w:cs="Times New Roman"/>
                <w:sz w:val="28"/>
                <w:szCs w:val="28"/>
              </w:rPr>
            </w:pPr>
            <w:r w:rsidRPr="005C379B">
              <w:rPr>
                <w:rFonts w:ascii="Times New Roman" w:eastAsia="Times New Roman" w:hAnsi="Times New Roman" w:cs="Times New Roman"/>
                <w:sz w:val="28"/>
                <w:szCs w:val="28"/>
              </w:rPr>
              <w:t xml:space="preserve">Образуют бюджет развития муниципального образования. Обеспечивают инвестиции в капитальное строительство, капитальный ремонт и другие мероприятия инвестиционного и инновационного характера. </w:t>
            </w:r>
          </w:p>
          <w:p w:rsidR="005C379B" w:rsidRPr="005C379B" w:rsidRDefault="005C379B" w:rsidP="005C379B">
            <w:pPr>
              <w:contextualSpacing/>
              <w:jc w:val="both"/>
              <w:rPr>
                <w:rFonts w:ascii="Times New Roman" w:eastAsia="Calibri" w:hAnsi="Times New Roman" w:cs="Times New Roman"/>
                <w:b/>
                <w:i/>
                <w:color w:val="252525"/>
                <w:sz w:val="28"/>
                <w:szCs w:val="28"/>
              </w:rPr>
            </w:pPr>
          </w:p>
        </w:tc>
      </w:tr>
    </w:tbl>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Рисунок  5.2 Виды расходов местных бюджетов</w:t>
      </w:r>
    </w:p>
    <w:p w:rsidR="005C379B" w:rsidRPr="005C379B" w:rsidRDefault="005C379B" w:rsidP="005C379B">
      <w:pPr>
        <w:tabs>
          <w:tab w:val="left" w:pos="851"/>
          <w:tab w:val="left" w:pos="1134"/>
        </w:tabs>
        <w:autoSpaceDE w:val="0"/>
        <w:autoSpaceDN w:val="0"/>
        <w:adjustRightInd w:val="0"/>
        <w:spacing w:after="0" w:line="240" w:lineRule="auto"/>
        <w:ind w:firstLine="709"/>
        <w:jc w:val="center"/>
        <w:rPr>
          <w:rFonts w:ascii="Times New Roman" w:eastAsia="Calibri" w:hAnsi="Times New Roman" w:cs="Times New Roman"/>
          <w:sz w:val="24"/>
          <w:szCs w:val="24"/>
        </w:rPr>
      </w:pPr>
    </w:p>
    <w:p w:rsidR="005C379B" w:rsidRPr="005C379B" w:rsidRDefault="005C379B" w:rsidP="005C379B">
      <w:pPr>
        <w:widowControl w:val="0"/>
        <w:rPr>
          <w:rFonts w:ascii="Calibri" w:eastAsia="Calibri" w:hAnsi="Calibri" w:cs="Times New Roman"/>
        </w:rPr>
      </w:pPr>
      <w:r w:rsidRPr="005C379B">
        <w:rPr>
          <w:rFonts w:ascii="Calibri" w:eastAsia="Calibri" w:hAnsi="Calibri" w:cs="Times New Roman"/>
          <w:noProof/>
          <w:lang w:eastAsia="ru-RU"/>
        </w:rPr>
        <w:lastRenderedPageBreak/>
        <w:drawing>
          <wp:anchor distT="0" distB="0" distL="114300" distR="114300" simplePos="0" relativeHeight="251660288" behindDoc="0" locked="0" layoutInCell="1" allowOverlap="1" wp14:anchorId="21EE9C53" wp14:editId="59EFDE3D">
            <wp:simplePos x="0" y="0"/>
            <wp:positionH relativeFrom="column">
              <wp:posOffset>16413</wp:posOffset>
            </wp:positionH>
            <wp:positionV relativeFrom="paragraph">
              <wp:posOffset>3241</wp:posOffset>
            </wp:positionV>
            <wp:extent cx="5936767" cy="3575714"/>
            <wp:effectExtent l="19050" t="0" r="6833" b="0"/>
            <wp:wrapNone/>
            <wp:docPr id="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cstate="print"/>
                    <a:srcRect/>
                    <a:stretch>
                      <a:fillRect/>
                    </a:stretch>
                  </pic:blipFill>
                  <pic:spPr bwMode="auto">
                    <a:xfrm>
                      <a:off x="0" y="0"/>
                      <a:ext cx="5936767" cy="3575714"/>
                    </a:xfrm>
                    <a:prstGeom prst="rect">
                      <a:avLst/>
                    </a:prstGeom>
                    <a:noFill/>
                    <a:ln w="9525">
                      <a:noFill/>
                      <a:miter lim="800000"/>
                      <a:headEnd/>
                      <a:tailEnd/>
                    </a:ln>
                  </pic:spPr>
                </pic:pic>
              </a:graphicData>
            </a:graphic>
          </wp:anchor>
        </w:drawing>
      </w:r>
      <w:r>
        <w:rPr>
          <w:rFonts w:ascii="Calibri" w:eastAsia="Calibri" w:hAnsi="Calibri" w:cs="Times New Roman"/>
          <w:noProof/>
          <w:lang w:eastAsia="ru-RU"/>
        </w:rPr>
        <mc:AlternateContent>
          <mc:Choice Requires="wpc">
            <w:drawing>
              <wp:inline distT="0" distB="0" distL="0" distR="0">
                <wp:extent cx="5940425" cy="3564255"/>
                <wp:effectExtent l="3810" t="0" r="0" b="1905"/>
                <wp:docPr id="49" name="Полотно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49" o:spid="_x0000_s1026" editas="canvas" style="width:467.75pt;height:280.65pt;mso-position-horizontal-relative:char;mso-position-vertical-relative:line" coordsize="59404,3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">
                <v:shape id="_x0000_s1027" type="#_x0000_t75" style="position:absolute;width:59404;height:35642;visibility:visible;mso-wrap-style:square">
                  <v:fill o:detectmouseclick="t"/>
                  <v:path o:connecttype="none"/>
                </v:shape>
                <w10:anchorlock/>
              </v:group>
            </w:pict>
          </mc:Fallback>
        </mc:AlternateContent>
      </w:r>
    </w:p>
    <w:p w:rsidR="005C379B" w:rsidRPr="005C379B" w:rsidRDefault="005C379B" w:rsidP="005C379B">
      <w:pPr>
        <w:widowControl w:val="0"/>
        <w:jc w:val="center"/>
        <w:rPr>
          <w:rFonts w:ascii="Calibri" w:eastAsia="Calibri" w:hAnsi="Calibri" w:cs="Times New Roman"/>
          <w:sz w:val="32"/>
          <w:szCs w:val="32"/>
        </w:rPr>
      </w:pPr>
      <w:r w:rsidRPr="005C379B">
        <w:rPr>
          <w:rFonts w:ascii="Calibri" w:eastAsia="Calibri" w:hAnsi="Calibri" w:cs="Times New Roman"/>
          <w:bCs/>
          <w:sz w:val="32"/>
          <w:szCs w:val="32"/>
        </w:rPr>
        <w:t>Рисунок 6.1 Расходы бюджета города Иркутска в 2018 г.в %</w:t>
      </w:r>
    </w:p>
    <w:p w:rsidR="005C379B" w:rsidRPr="005C379B" w:rsidRDefault="005C379B" w:rsidP="005C379B">
      <w:pPr>
        <w:jc w:val="right"/>
        <w:rPr>
          <w:rFonts w:ascii="Times New Roman" w:eastAsia="Calibri" w:hAnsi="Times New Roman" w:cs="Times New Roman"/>
          <w:sz w:val="28"/>
          <w:szCs w:val="28"/>
        </w:rPr>
      </w:pPr>
      <w:r w:rsidRPr="005C379B">
        <w:rPr>
          <w:rFonts w:ascii="Times New Roman" w:eastAsia="Calibri" w:hAnsi="Times New Roman" w:cs="Times New Roman"/>
          <w:sz w:val="28"/>
          <w:szCs w:val="28"/>
        </w:rPr>
        <w:t>Таблица 6.1</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Эффективность бюджетных расходов и ее критерии </w:t>
      </w:r>
    </w:p>
    <w:tbl>
      <w:tblPr>
        <w:tblStyle w:val="a3"/>
        <w:tblW w:w="0" w:type="auto"/>
        <w:tblLook w:val="04A0" w:firstRow="1" w:lastRow="0" w:firstColumn="1" w:lastColumn="0" w:noHBand="0" w:noVBand="1"/>
      </w:tblPr>
      <w:tblGrid>
        <w:gridCol w:w="4361"/>
        <w:gridCol w:w="5210"/>
      </w:tblGrid>
      <w:tr w:rsidR="005C379B" w:rsidRPr="005C379B" w:rsidTr="00A81396">
        <w:tc>
          <w:tcPr>
            <w:tcW w:w="4361"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Вид эффективности бюджетных расходов</w:t>
            </w:r>
          </w:p>
        </w:tc>
        <w:tc>
          <w:tcPr>
            <w:tcW w:w="5210"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Модель оценки эффективности бюджетных расходов</w:t>
            </w:r>
          </w:p>
        </w:tc>
      </w:tr>
      <w:tr w:rsidR="005C379B" w:rsidRPr="005C379B" w:rsidTr="00A81396">
        <w:tc>
          <w:tcPr>
            <w:tcW w:w="4361"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Эффективность-целесообразность ( тип эффективности, при котором затраты осуществляются в соответствии  с необходимостью. Затраты в данном случае априори безусловны)</w:t>
            </w:r>
          </w:p>
        </w:tc>
        <w:tc>
          <w:tcPr>
            <w:tcW w:w="5210"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Экономическая оценка – формальный анализ «затраты – выгоды», который позволяет определить, повысит ли предложенная мера благосостояние общества. Проводимый правительством анализ «затраты- выгоды» должен учитывать наличие экстерналий.  Экономическая оценка применима к самым разнообразным проблемам: дерегулирование отраслей, социальная политика, экологическая безопасность и т.д. Экономическая оценка – отношение затрат к результатам. Анализ эффективности по затратам, при котором выгоды измеряются не в денежном выражении, а на основе разрабатываемых результатов ( критериев) деятельности. Он эффективен в таких сферах как образование, </w:t>
            </w:r>
            <w:r w:rsidRPr="005C379B">
              <w:rPr>
                <w:rFonts w:ascii="Times New Roman" w:eastAsia="Calibri" w:hAnsi="Times New Roman" w:cs="Times New Roman"/>
                <w:sz w:val="28"/>
                <w:szCs w:val="28"/>
              </w:rPr>
              <w:lastRenderedPageBreak/>
              <w:t>здравоохранение и т.д., где трудно произвести количественное измерение эффекта и в которых измеряется социальный эффект.</w:t>
            </w:r>
          </w:p>
        </w:tc>
      </w:tr>
      <w:tr w:rsidR="005C379B" w:rsidRPr="005C379B" w:rsidTr="00A81396">
        <w:tc>
          <w:tcPr>
            <w:tcW w:w="4361"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lastRenderedPageBreak/>
              <w:t xml:space="preserve">Эффективность – рациональность ( тип эффективности, при котором анализ эффективности затрат предваряет их осуществление и является основанием выбора вариантов вложения. При данном типе эффективности всегда существует альтернатива, которая находит отражение в оценке эффективности).  </w:t>
            </w:r>
          </w:p>
        </w:tc>
        <w:tc>
          <w:tcPr>
            <w:tcW w:w="5210"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Экономическая и финансовая оценки. Финансовая оценка применяется при оценке государственных капитальных вложений и позволяет определить, даст ли предлагаемая мера благоприятную отдачу. С помощью финансовой оценки можно определить обладает ли данное капитальное вложение финансовой устойчивостью, финансовая оценка измеряется с помощью показателя чистого дисконтированного дохода. </w:t>
            </w:r>
          </w:p>
        </w:tc>
      </w:tr>
    </w:tbl>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right"/>
        <w:rPr>
          <w:rFonts w:ascii="Times New Roman" w:eastAsia="Calibri" w:hAnsi="Times New Roman" w:cs="Times New Roman"/>
          <w:sz w:val="28"/>
          <w:szCs w:val="28"/>
        </w:rPr>
      </w:pPr>
      <w:r w:rsidRPr="005C379B">
        <w:rPr>
          <w:rFonts w:ascii="Times New Roman" w:eastAsia="Calibri" w:hAnsi="Times New Roman" w:cs="Times New Roman"/>
          <w:sz w:val="28"/>
          <w:szCs w:val="28"/>
        </w:rPr>
        <w:t>Таблица 6.2</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Классификация затрат в бюджетном секторе</w:t>
      </w:r>
    </w:p>
    <w:tbl>
      <w:tblPr>
        <w:tblStyle w:val="a3"/>
        <w:tblW w:w="0" w:type="auto"/>
        <w:tblLook w:val="04A0" w:firstRow="1" w:lastRow="0" w:firstColumn="1" w:lastColumn="0" w:noHBand="0" w:noVBand="1"/>
      </w:tblPr>
      <w:tblGrid>
        <w:gridCol w:w="4077"/>
        <w:gridCol w:w="5494"/>
      </w:tblGrid>
      <w:tr w:rsidR="005C379B" w:rsidRPr="005C379B" w:rsidTr="00A81396">
        <w:tc>
          <w:tcPr>
            <w:tcW w:w="4077"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Вид затрат </w:t>
            </w:r>
          </w:p>
        </w:tc>
        <w:tc>
          <w:tcPr>
            <w:tcW w:w="5494" w:type="dxa"/>
          </w:tcPr>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Характеристика</w:t>
            </w:r>
          </w:p>
        </w:tc>
      </w:tr>
      <w:tr w:rsidR="005C379B" w:rsidRPr="005C379B" w:rsidTr="00A81396">
        <w:tc>
          <w:tcPr>
            <w:tcW w:w="4077"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Прямые</w:t>
            </w:r>
          </w:p>
        </w:tc>
        <w:tc>
          <w:tcPr>
            <w:tcW w:w="5494"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Отведены на достижение конкретной программы и напрямую начисляются на соответствующий счет  ( например заработная плата преподавательского состава)</w:t>
            </w:r>
          </w:p>
        </w:tc>
      </w:tr>
      <w:tr w:rsidR="005C379B" w:rsidRPr="005C379B" w:rsidTr="00A81396">
        <w:tc>
          <w:tcPr>
            <w:tcW w:w="4077"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Прямые административные </w:t>
            </w:r>
          </w:p>
        </w:tc>
        <w:tc>
          <w:tcPr>
            <w:tcW w:w="5494"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Сотрудники, участвующие в разработке политики в области профессионального обучения и в другой сходной деятельности, чей вклад в данную программу конкретен и значителен ( относятся на основе реального и прогнозируемого вклада)  </w:t>
            </w:r>
          </w:p>
        </w:tc>
      </w:tr>
      <w:tr w:rsidR="005C379B" w:rsidRPr="005C379B" w:rsidTr="00A81396">
        <w:tc>
          <w:tcPr>
            <w:tcW w:w="4077" w:type="dxa"/>
          </w:tcPr>
          <w:p w:rsidR="005C379B" w:rsidRPr="005C379B" w:rsidRDefault="005C379B" w:rsidP="005C379B">
            <w:pPr>
              <w:rPr>
                <w:rFonts w:ascii="Times New Roman" w:eastAsia="Calibri" w:hAnsi="Times New Roman" w:cs="Times New Roman"/>
                <w:sz w:val="28"/>
                <w:szCs w:val="28"/>
              </w:rPr>
            </w:pPr>
            <w:r w:rsidRPr="005C379B">
              <w:rPr>
                <w:rFonts w:ascii="Times New Roman" w:eastAsia="Calibri" w:hAnsi="Times New Roman" w:cs="Times New Roman"/>
                <w:sz w:val="28"/>
                <w:szCs w:val="28"/>
              </w:rPr>
              <w:t>Косвенные</w:t>
            </w:r>
          </w:p>
        </w:tc>
        <w:tc>
          <w:tcPr>
            <w:tcW w:w="5494" w:type="dxa"/>
          </w:tcPr>
          <w:p w:rsidR="005C379B" w:rsidRPr="005C379B" w:rsidRDefault="005C379B" w:rsidP="005C379B">
            <w:pPr>
              <w:jc w:val="both"/>
              <w:rPr>
                <w:rFonts w:ascii="Times New Roman" w:eastAsia="Calibri" w:hAnsi="Times New Roman" w:cs="Times New Roman"/>
                <w:sz w:val="28"/>
                <w:szCs w:val="28"/>
              </w:rPr>
            </w:pPr>
            <w:r w:rsidRPr="005C379B">
              <w:rPr>
                <w:rFonts w:ascii="Times New Roman" w:eastAsia="Calibri" w:hAnsi="Times New Roman" w:cs="Times New Roman"/>
                <w:sz w:val="28"/>
                <w:szCs w:val="28"/>
              </w:rPr>
              <w:t>Расходы вспомогательных подразделений – бухгалтерии, юридического отдела, точек питании, компьютерной службы и другие затраты, направленные на обеспечение деятельности программы субъекта бюджетного планирования.</w:t>
            </w:r>
          </w:p>
        </w:tc>
      </w:tr>
    </w:tbl>
    <w:p w:rsidR="005C379B" w:rsidRPr="005C379B" w:rsidRDefault="005C379B" w:rsidP="005C379B">
      <w:pPr>
        <w:jc w:val="center"/>
        <w:rPr>
          <w:rFonts w:ascii="Calibri" w:eastAsia="Calibri" w:hAnsi="Calibri" w:cs="Times New Roman"/>
        </w:rPr>
      </w:pPr>
    </w:p>
    <w:p w:rsidR="005C379B" w:rsidRPr="005C379B" w:rsidRDefault="005C379B" w:rsidP="005C379B">
      <w:pPr>
        <w:jc w:val="center"/>
        <w:rPr>
          <w:rFonts w:ascii="Calibri" w:eastAsia="Calibri" w:hAnsi="Calibri" w:cs="Times New Roman"/>
        </w:rPr>
      </w:pPr>
    </w:p>
    <w:p w:rsidR="005C379B" w:rsidRPr="005C379B" w:rsidRDefault="005C379B" w:rsidP="005C379B">
      <w:pPr>
        <w:jc w:val="center"/>
        <w:rPr>
          <w:rFonts w:ascii="Calibri" w:eastAsia="Calibri" w:hAnsi="Calibri" w:cs="Times New Roman"/>
        </w:rPr>
      </w:pPr>
    </w:p>
    <w:p w:rsidR="005C379B" w:rsidRPr="005C379B" w:rsidRDefault="005C379B" w:rsidP="005C379B">
      <w:pPr>
        <w:jc w:val="center"/>
        <w:rPr>
          <w:rFonts w:ascii="Calibri" w:eastAsia="Calibri" w:hAnsi="Calibri" w:cs="Times New Roman"/>
        </w:rPr>
      </w:pPr>
    </w:p>
    <w:p w:rsidR="005C379B" w:rsidRPr="005C379B" w:rsidRDefault="005C379B" w:rsidP="005C379B">
      <w:pPr>
        <w:jc w:val="center"/>
        <w:rPr>
          <w:rFonts w:ascii="Calibri" w:eastAsia="Calibri" w:hAnsi="Calibri" w:cs="Times New Roman"/>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t xml:space="preserve">Тема 7. Дефицит и профицит бюджетов муниципального образования. </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noProof/>
          <w:sz w:val="28"/>
          <w:szCs w:val="28"/>
          <w:lang w:eastAsia="ru-RU"/>
        </w:rPr>
        <w:drawing>
          <wp:inline distT="0" distB="0" distL="0" distR="0" wp14:anchorId="579518B7" wp14:editId="0DE20EE2">
            <wp:extent cx="5937885" cy="2838450"/>
            <wp:effectExtent l="19050" t="0" r="5715"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5937885" cy="2838450"/>
                    </a:xfrm>
                    <a:prstGeom prst="rect">
                      <a:avLst/>
                    </a:prstGeom>
                    <a:noFill/>
                    <a:ln w="9525">
                      <a:noFill/>
                      <a:miter lim="800000"/>
                      <a:headEnd/>
                      <a:tailEnd/>
                    </a:ln>
                  </pic:spPr>
                </pic:pic>
              </a:graphicData>
            </a:graphic>
          </wp:inline>
        </w:drawing>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Рисунок 7.1. Общий механизм бюджетного дефицитного финансирования</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noProof/>
          <w:sz w:val="28"/>
          <w:szCs w:val="28"/>
          <w:lang w:eastAsia="ru-RU"/>
        </w:rPr>
        <w:lastRenderedPageBreak/>
        <w:drawing>
          <wp:inline distT="0" distB="0" distL="0" distR="0" wp14:anchorId="78BE8003" wp14:editId="3F41DA31">
            <wp:extent cx="5937885" cy="5450840"/>
            <wp:effectExtent l="19050" t="0" r="571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937885" cy="5450840"/>
                    </a:xfrm>
                    <a:prstGeom prst="rect">
                      <a:avLst/>
                    </a:prstGeom>
                    <a:noFill/>
                    <a:ln w="9525">
                      <a:noFill/>
                      <a:miter lim="800000"/>
                      <a:headEnd/>
                      <a:tailEnd/>
                    </a:ln>
                  </pic:spPr>
                </pic:pic>
              </a:graphicData>
            </a:graphic>
          </wp:inline>
        </w:drawing>
      </w: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 xml:space="preserve">Рисунок 7.2 Источники финансирования дефицита федерального бюджета </w:t>
      </w: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lastRenderedPageBreak/>
        <w:t xml:space="preserve">Раздел 4. Государственный и муниципальный долг и механизм финансовой помощи муниципальным образованиям. </w:t>
      </w:r>
    </w:p>
    <w:p w:rsidR="005C379B" w:rsidRPr="005C379B" w:rsidRDefault="005C379B" w:rsidP="005C379B">
      <w:pPr>
        <w:tabs>
          <w:tab w:val="left" w:pos="851"/>
          <w:tab w:val="left" w:pos="1134"/>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t xml:space="preserve">Тема 8. Государственный и муниципальный долг. </w:t>
      </w:r>
    </w:p>
    <w:p w:rsidR="005C379B" w:rsidRPr="005C379B" w:rsidRDefault="005C379B" w:rsidP="005C379B">
      <w:pPr>
        <w:jc w:val="right"/>
        <w:rPr>
          <w:rFonts w:ascii="Times New Roman" w:eastAsia="Calibri" w:hAnsi="Times New Roman" w:cs="Times New Roman"/>
          <w:sz w:val="28"/>
          <w:szCs w:val="28"/>
        </w:rPr>
      </w:pPr>
      <w:r w:rsidRPr="005C379B">
        <w:rPr>
          <w:rFonts w:ascii="Times New Roman" w:eastAsia="Calibri" w:hAnsi="Times New Roman" w:cs="Times New Roman"/>
          <w:sz w:val="28"/>
          <w:szCs w:val="28"/>
        </w:rPr>
        <w:t>Таблица 8.1</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noProof/>
          <w:sz w:val="28"/>
          <w:szCs w:val="28"/>
          <w:lang w:eastAsia="ru-RU"/>
        </w:rPr>
        <w:drawing>
          <wp:inline distT="0" distB="0" distL="0" distR="0" wp14:anchorId="340CA0D7" wp14:editId="63832DF9">
            <wp:extent cx="5937885" cy="3836035"/>
            <wp:effectExtent l="19050" t="0" r="5715" b="0"/>
            <wp:docPr id="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5937885" cy="3836035"/>
                    </a:xfrm>
                    <a:prstGeom prst="rect">
                      <a:avLst/>
                    </a:prstGeom>
                    <a:noFill/>
                    <a:ln w="9525">
                      <a:noFill/>
                      <a:miter lim="800000"/>
                      <a:headEnd/>
                      <a:tailEnd/>
                    </a:ln>
                  </pic:spPr>
                </pic:pic>
              </a:graphicData>
            </a:graphic>
          </wp:inline>
        </w:drawing>
      </w:r>
      <w:r w:rsidRPr="005C379B">
        <w:rPr>
          <w:rFonts w:ascii="Times New Roman" w:eastAsia="Calibri" w:hAnsi="Times New Roman" w:cs="Times New Roman"/>
          <w:noProof/>
          <w:sz w:val="28"/>
          <w:szCs w:val="28"/>
          <w:lang w:eastAsia="ru-RU"/>
        </w:rPr>
        <w:drawing>
          <wp:inline distT="0" distB="0" distL="0" distR="0" wp14:anchorId="3A878971" wp14:editId="7CB081AC">
            <wp:extent cx="5937885" cy="1888490"/>
            <wp:effectExtent l="19050" t="0" r="5715"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37885" cy="1888490"/>
                    </a:xfrm>
                    <a:prstGeom prst="rect">
                      <a:avLst/>
                    </a:prstGeom>
                    <a:noFill/>
                    <a:ln w="9525">
                      <a:noFill/>
                      <a:miter lim="800000"/>
                      <a:headEnd/>
                      <a:tailEnd/>
                    </a:ln>
                  </pic:spPr>
                </pic:pic>
              </a:graphicData>
            </a:graphic>
          </wp:inline>
        </w:drawing>
      </w: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right"/>
        <w:rPr>
          <w:rFonts w:ascii="Times New Roman" w:eastAsia="Calibri" w:hAnsi="Times New Roman" w:cs="Times New Roman"/>
          <w:sz w:val="28"/>
          <w:szCs w:val="28"/>
        </w:rPr>
      </w:pPr>
      <w:r w:rsidRPr="005C379B">
        <w:rPr>
          <w:rFonts w:ascii="Times New Roman" w:eastAsia="Calibri" w:hAnsi="Times New Roman" w:cs="Times New Roman"/>
          <w:sz w:val="28"/>
          <w:szCs w:val="28"/>
        </w:rPr>
        <w:lastRenderedPageBreak/>
        <w:t>Таблица 8.2</w: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noProof/>
          <w:sz w:val="28"/>
          <w:szCs w:val="28"/>
          <w:lang w:eastAsia="ru-RU"/>
        </w:rPr>
        <w:drawing>
          <wp:inline distT="0" distB="0" distL="0" distR="0" wp14:anchorId="75C82325" wp14:editId="19F94711">
            <wp:extent cx="5937885" cy="1876425"/>
            <wp:effectExtent l="19050" t="0" r="5715" b="0"/>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5937885" cy="1876425"/>
                    </a:xfrm>
                    <a:prstGeom prst="rect">
                      <a:avLst/>
                    </a:prstGeom>
                    <a:noFill/>
                    <a:ln w="9525">
                      <a:noFill/>
                      <a:miter lim="800000"/>
                      <a:headEnd/>
                      <a:tailEnd/>
                    </a:ln>
                  </pic:spPr>
                </pic:pic>
              </a:graphicData>
            </a:graphic>
          </wp:inline>
        </w:drawing>
      </w: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noProof/>
          <w:sz w:val="28"/>
          <w:szCs w:val="28"/>
          <w:lang w:eastAsia="ru-RU"/>
        </w:rPr>
        <w:lastRenderedPageBreak/>
        <w:drawing>
          <wp:inline distT="0" distB="0" distL="0" distR="0" wp14:anchorId="77A49246" wp14:editId="7F8C733F">
            <wp:extent cx="5925820" cy="2660015"/>
            <wp:effectExtent l="19050" t="0" r="0" b="0"/>
            <wp:docPr id="1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5925820" cy="2660015"/>
                    </a:xfrm>
                    <a:prstGeom prst="rect">
                      <a:avLst/>
                    </a:prstGeom>
                    <a:noFill/>
                    <a:ln w="9525">
                      <a:noFill/>
                      <a:miter lim="800000"/>
                      <a:headEnd/>
                      <a:tailEnd/>
                    </a:ln>
                  </pic:spPr>
                </pic:pic>
              </a:graphicData>
            </a:graphic>
          </wp:inline>
        </w:drawing>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Рисунок 8.1 Государственный долг РФ в % к ВВП</w:t>
      </w: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jc w:val="center"/>
        <w:rPr>
          <w:rFonts w:ascii="Times New Roman" w:eastAsia="Calibri" w:hAnsi="Times New Roman" w:cs="Times New Roman"/>
          <w:sz w:val="28"/>
          <w:szCs w:val="28"/>
        </w:rPr>
      </w:pP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sz w:val="24"/>
          <w:szCs w:val="24"/>
          <w:highlight w:val="white"/>
        </w:rPr>
      </w:pPr>
      <w:r w:rsidRPr="005C379B">
        <w:rPr>
          <w:rFonts w:ascii="Times New Roman" w:eastAsia="Calibri" w:hAnsi="Times New Roman" w:cs="Times New Roman"/>
          <w:sz w:val="24"/>
          <w:szCs w:val="24"/>
          <w:highlight w:val="white"/>
        </w:rPr>
        <w:lastRenderedPageBreak/>
        <w:t xml:space="preserve">.   </w:t>
      </w: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5C379B">
        <w:rPr>
          <w:rFonts w:ascii="Times New Roman" w:eastAsia="Calibri" w:hAnsi="Times New Roman" w:cs="Times New Roman"/>
          <w:b/>
          <w:bCs/>
          <w:sz w:val="24"/>
          <w:szCs w:val="24"/>
        </w:rPr>
        <w:t xml:space="preserve">Тема 9. Межбюджетные отношения. </w:t>
      </w:r>
    </w:p>
    <w:p w:rsidR="005C379B" w:rsidRPr="005C379B" w:rsidRDefault="005C379B" w:rsidP="005C379B">
      <w:pPr>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c">
            <w:drawing>
              <wp:inline distT="0" distB="0" distL="0" distR="0">
                <wp:extent cx="5940425" cy="7853680"/>
                <wp:effectExtent l="3810" t="3810" r="0" b="635"/>
                <wp:docPr id="48" name="Полотно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 name="Rectangle 11"/>
                        <wps:cNvSpPr>
                          <a:spLocks noChangeArrowheads="1"/>
                        </wps:cNvSpPr>
                        <wps:spPr bwMode="auto">
                          <a:xfrm>
                            <a:off x="415005" y="217814"/>
                            <a:ext cx="285470" cy="7327296"/>
                          </a:xfrm>
                          <a:prstGeom prst="rect">
                            <a:avLst/>
                          </a:prstGeom>
                          <a:solidFill>
                            <a:srgbClr val="FFFFFF"/>
                          </a:solidFill>
                          <a:ln w="9525">
                            <a:solidFill>
                              <a:srgbClr val="000000"/>
                            </a:solidFill>
                            <a:miter lim="800000"/>
                            <a:headEnd/>
                            <a:tailEnd/>
                          </a:ln>
                        </wps:spPr>
                        <wps:txbx>
                          <w:txbxContent>
                            <w:p w:rsidR="005C379B" w:rsidRDefault="005C379B" w:rsidP="005C379B">
                              <w:pPr>
                                <w:rPr>
                                  <w:rFonts w:ascii="Times New Roman" w:hAnsi="Times New Roman"/>
                                </w:rPr>
                              </w:pPr>
                              <w:r w:rsidRPr="00C01C6C">
                                <w:rPr>
                                  <w:rFonts w:ascii="Times New Roman" w:hAnsi="Times New Roman"/>
                                </w:rPr>
                                <w:t>Формы предоставления</w:t>
                              </w:r>
                            </w:p>
                            <w:p w:rsidR="005C379B" w:rsidRDefault="005C379B" w:rsidP="005C379B">
                              <w:pPr>
                                <w:rPr>
                                  <w:rFonts w:ascii="Times New Roman" w:hAnsi="Times New Roman"/>
                                </w:rPr>
                              </w:pPr>
                              <w:r w:rsidRPr="00C01C6C">
                                <w:rPr>
                                  <w:rFonts w:ascii="Times New Roman" w:hAnsi="Times New Roman"/>
                                </w:rPr>
                                <w:t xml:space="preserve"> бюджетных </w:t>
                              </w:r>
                            </w:p>
                            <w:p w:rsidR="005C379B" w:rsidRPr="00C01C6C" w:rsidRDefault="005C379B" w:rsidP="005C379B">
                              <w:pPr>
                                <w:rPr>
                                  <w:rFonts w:ascii="Times New Roman" w:hAnsi="Times New Roman"/>
                                </w:rPr>
                              </w:pPr>
                              <w:r w:rsidRPr="00C01C6C">
                                <w:rPr>
                                  <w:rFonts w:ascii="Times New Roman" w:hAnsi="Times New Roman"/>
                                </w:rPr>
                                <w:t xml:space="preserve">средств </w:t>
                              </w:r>
                            </w:p>
                          </w:txbxContent>
                        </wps:txbx>
                        <wps:bodyPr rot="0" vert="horz" wrap="square" lIns="91440" tIns="45720" rIns="91440" bIns="45720" anchor="t" anchorCtr="0" upright="1">
                          <a:noAutofit/>
                        </wps:bodyPr>
                      </wps:wsp>
                      <wps:wsp>
                        <wps:cNvPr id="18" name="Rectangle 12"/>
                        <wps:cNvSpPr>
                          <a:spLocks noChangeArrowheads="1"/>
                        </wps:cNvSpPr>
                        <wps:spPr bwMode="auto">
                          <a:xfrm>
                            <a:off x="1662494" y="217814"/>
                            <a:ext cx="3111298" cy="297019"/>
                          </a:xfrm>
                          <a:prstGeom prst="rect">
                            <a:avLst/>
                          </a:prstGeom>
                          <a:solidFill>
                            <a:srgbClr val="FFFFFF"/>
                          </a:solidFill>
                          <a:ln w="9525">
                            <a:solidFill>
                              <a:srgbClr val="000000"/>
                            </a:solidFill>
                            <a:miter lim="800000"/>
                            <a:headEnd/>
                            <a:tailEnd/>
                          </a:ln>
                        </wps:spPr>
                        <wps:txbx>
                          <w:txbxContent>
                            <w:p w:rsidR="005C379B" w:rsidRDefault="005C379B" w:rsidP="005C379B">
                              <w:r>
                                <w:t>Дотации</w:t>
                              </w:r>
                            </w:p>
                          </w:txbxContent>
                        </wps:txbx>
                        <wps:bodyPr rot="0" vert="horz" wrap="square" lIns="91440" tIns="45720" rIns="91440" bIns="45720" anchor="t" anchorCtr="0" upright="1">
                          <a:noAutofit/>
                        </wps:bodyPr>
                      </wps:wsp>
                      <wps:wsp>
                        <wps:cNvPr id="19" name="Rectangle 13"/>
                        <wps:cNvSpPr>
                          <a:spLocks noChangeArrowheads="1"/>
                        </wps:cNvSpPr>
                        <wps:spPr bwMode="auto">
                          <a:xfrm>
                            <a:off x="1662494" y="658392"/>
                            <a:ext cx="3111298" cy="272268"/>
                          </a:xfrm>
                          <a:prstGeom prst="rect">
                            <a:avLst/>
                          </a:prstGeom>
                          <a:solidFill>
                            <a:srgbClr val="FFFFFF"/>
                          </a:solidFill>
                          <a:ln w="9525">
                            <a:solidFill>
                              <a:srgbClr val="000000"/>
                            </a:solidFill>
                            <a:miter lim="800000"/>
                            <a:headEnd/>
                            <a:tailEnd/>
                          </a:ln>
                        </wps:spPr>
                        <wps:txbx>
                          <w:txbxContent>
                            <w:p w:rsidR="005C379B" w:rsidRDefault="005C379B" w:rsidP="005C379B">
                              <w:r>
                                <w:t>Субвенции</w:t>
                              </w:r>
                            </w:p>
                          </w:txbxContent>
                        </wps:txbx>
                        <wps:bodyPr rot="0" vert="horz" wrap="square" lIns="91440" tIns="45720" rIns="91440" bIns="45720" anchor="t" anchorCtr="0" upright="1">
                          <a:noAutofit/>
                        </wps:bodyPr>
                      </wps:wsp>
                      <wps:wsp>
                        <wps:cNvPr id="20" name="Rectangle 14"/>
                        <wps:cNvSpPr>
                          <a:spLocks noChangeArrowheads="1"/>
                        </wps:cNvSpPr>
                        <wps:spPr bwMode="auto">
                          <a:xfrm>
                            <a:off x="1662494" y="1048642"/>
                            <a:ext cx="3111298" cy="333321"/>
                          </a:xfrm>
                          <a:prstGeom prst="rect">
                            <a:avLst/>
                          </a:prstGeom>
                          <a:solidFill>
                            <a:srgbClr val="FFFFFF"/>
                          </a:solidFill>
                          <a:ln w="9525">
                            <a:solidFill>
                              <a:srgbClr val="000000"/>
                            </a:solidFill>
                            <a:miter lim="800000"/>
                            <a:headEnd/>
                            <a:tailEnd/>
                          </a:ln>
                        </wps:spPr>
                        <wps:txbx>
                          <w:txbxContent>
                            <w:p w:rsidR="005C379B" w:rsidRDefault="005C379B" w:rsidP="005C379B">
                              <w:r>
                                <w:t>Взаимозачеты</w:t>
                              </w:r>
                            </w:p>
                          </w:txbxContent>
                        </wps:txbx>
                        <wps:bodyPr rot="0" vert="horz" wrap="square" lIns="91440" tIns="45720" rIns="91440" bIns="45720" anchor="t" anchorCtr="0" upright="1">
                          <a:noAutofit/>
                        </wps:bodyPr>
                      </wps:wsp>
                      <wps:wsp>
                        <wps:cNvPr id="21" name="Rectangle 15"/>
                        <wps:cNvSpPr>
                          <a:spLocks noChangeArrowheads="1"/>
                        </wps:cNvSpPr>
                        <wps:spPr bwMode="auto">
                          <a:xfrm>
                            <a:off x="1662494" y="1487571"/>
                            <a:ext cx="3145950" cy="286293"/>
                          </a:xfrm>
                          <a:prstGeom prst="rect">
                            <a:avLst/>
                          </a:prstGeom>
                          <a:solidFill>
                            <a:srgbClr val="FFFFFF"/>
                          </a:solidFill>
                          <a:ln w="9525">
                            <a:solidFill>
                              <a:srgbClr val="000000"/>
                            </a:solidFill>
                            <a:miter lim="800000"/>
                            <a:headEnd/>
                            <a:tailEnd/>
                          </a:ln>
                        </wps:spPr>
                        <wps:txbx>
                          <w:txbxContent>
                            <w:p w:rsidR="005C379B" w:rsidRDefault="005C379B" w:rsidP="005C379B">
                              <w:r>
                                <w:t>Бюджетные ссуды</w:t>
                              </w:r>
                            </w:p>
                          </w:txbxContent>
                        </wps:txbx>
                        <wps:bodyPr rot="0" vert="horz" wrap="square" lIns="91440" tIns="45720" rIns="91440" bIns="45720" anchor="t" anchorCtr="0" upright="1">
                          <a:noAutofit/>
                        </wps:bodyPr>
                      </wps:wsp>
                      <wps:wsp>
                        <wps:cNvPr id="22" name="Rectangle 16"/>
                        <wps:cNvSpPr>
                          <a:spLocks noChangeArrowheads="1"/>
                        </wps:cNvSpPr>
                        <wps:spPr bwMode="auto">
                          <a:xfrm>
                            <a:off x="1662494" y="1915773"/>
                            <a:ext cx="3145950" cy="332496"/>
                          </a:xfrm>
                          <a:prstGeom prst="rect">
                            <a:avLst/>
                          </a:prstGeom>
                          <a:solidFill>
                            <a:srgbClr val="FFFFFF"/>
                          </a:solidFill>
                          <a:ln w="9525">
                            <a:solidFill>
                              <a:srgbClr val="000000"/>
                            </a:solidFill>
                            <a:miter lim="800000"/>
                            <a:headEnd/>
                            <a:tailEnd/>
                          </a:ln>
                        </wps:spPr>
                        <wps:txbx>
                          <w:txbxContent>
                            <w:p w:rsidR="005C379B" w:rsidRDefault="005C379B" w:rsidP="005C379B">
                              <w:r>
                                <w:t xml:space="preserve">Трансферты </w:t>
                              </w:r>
                            </w:p>
                          </w:txbxContent>
                        </wps:txbx>
                        <wps:bodyPr rot="0" vert="horz" wrap="square" lIns="91440" tIns="45720" rIns="91440" bIns="45720" anchor="t" anchorCtr="0" upright="1">
                          <a:noAutofit/>
                        </wps:bodyPr>
                      </wps:wsp>
                      <wps:wsp>
                        <wps:cNvPr id="23" name="Rectangle 17"/>
                        <wps:cNvSpPr>
                          <a:spLocks noChangeArrowheads="1"/>
                        </wps:cNvSpPr>
                        <wps:spPr bwMode="auto">
                          <a:xfrm>
                            <a:off x="1662494" y="2331600"/>
                            <a:ext cx="3111298" cy="273093"/>
                          </a:xfrm>
                          <a:prstGeom prst="rect">
                            <a:avLst/>
                          </a:prstGeom>
                          <a:solidFill>
                            <a:srgbClr val="FFFFFF"/>
                          </a:solidFill>
                          <a:ln w="9525">
                            <a:solidFill>
                              <a:srgbClr val="000000"/>
                            </a:solidFill>
                            <a:miter lim="800000"/>
                            <a:headEnd/>
                            <a:tailEnd/>
                          </a:ln>
                        </wps:spPr>
                        <wps:txbx>
                          <w:txbxContent>
                            <w:p w:rsidR="005C379B" w:rsidRDefault="005C379B" w:rsidP="005C379B">
                              <w:r>
                                <w:t>Субсидии</w:t>
                              </w:r>
                            </w:p>
                          </w:txbxContent>
                        </wps:txbx>
                        <wps:bodyPr rot="0" vert="horz" wrap="square" lIns="91440" tIns="45720" rIns="91440" bIns="45720" anchor="t" anchorCtr="0" upright="1">
                          <a:noAutofit/>
                        </wps:bodyPr>
                      </wps:wsp>
                      <wps:wsp>
                        <wps:cNvPr id="24" name="Rectangle 18"/>
                        <wps:cNvSpPr>
                          <a:spLocks noChangeArrowheads="1"/>
                        </wps:cNvSpPr>
                        <wps:spPr bwMode="auto">
                          <a:xfrm>
                            <a:off x="1662494" y="2711949"/>
                            <a:ext cx="3111298" cy="332496"/>
                          </a:xfrm>
                          <a:prstGeom prst="rect">
                            <a:avLst/>
                          </a:prstGeom>
                          <a:solidFill>
                            <a:srgbClr val="FFFFFF"/>
                          </a:solidFill>
                          <a:ln w="9525">
                            <a:solidFill>
                              <a:srgbClr val="000000"/>
                            </a:solidFill>
                            <a:miter lim="800000"/>
                            <a:headEnd/>
                            <a:tailEnd/>
                          </a:ln>
                        </wps:spPr>
                        <wps:txbx>
                          <w:txbxContent>
                            <w:p w:rsidR="005C379B" w:rsidRDefault="005C379B" w:rsidP="005C379B">
                              <w:r>
                                <w:t>Государственный или муниципальный заем</w:t>
                              </w:r>
                            </w:p>
                          </w:txbxContent>
                        </wps:txbx>
                        <wps:bodyPr rot="0" vert="horz" wrap="square" lIns="91440" tIns="45720" rIns="91440" bIns="45720" anchor="t" anchorCtr="0" upright="1">
                          <a:noAutofit/>
                        </wps:bodyPr>
                      </wps:wsp>
                      <wps:wsp>
                        <wps:cNvPr id="25" name="Rectangle 19"/>
                        <wps:cNvSpPr>
                          <a:spLocks noChangeArrowheads="1"/>
                        </wps:cNvSpPr>
                        <wps:spPr bwMode="auto">
                          <a:xfrm>
                            <a:off x="1662494" y="3163253"/>
                            <a:ext cx="3111298" cy="320121"/>
                          </a:xfrm>
                          <a:prstGeom prst="rect">
                            <a:avLst/>
                          </a:prstGeom>
                          <a:solidFill>
                            <a:srgbClr val="FFFFFF"/>
                          </a:solidFill>
                          <a:ln w="9525">
                            <a:solidFill>
                              <a:srgbClr val="000000"/>
                            </a:solidFill>
                            <a:miter lim="800000"/>
                            <a:headEnd/>
                            <a:tailEnd/>
                          </a:ln>
                        </wps:spPr>
                        <wps:txbx>
                          <w:txbxContent>
                            <w:p w:rsidR="005C379B" w:rsidRDefault="005C379B" w:rsidP="005C379B">
                              <w:r>
                                <w:t>Бюджетные ассигнования</w:t>
                              </w:r>
                            </w:p>
                          </w:txbxContent>
                        </wps:txbx>
                        <wps:bodyPr rot="0" vert="horz" wrap="square" lIns="91440" tIns="45720" rIns="91440" bIns="45720" anchor="t" anchorCtr="0" upright="1">
                          <a:noAutofit/>
                        </wps:bodyPr>
                      </wps:wsp>
                      <wps:wsp>
                        <wps:cNvPr id="26" name="Rectangle 20"/>
                        <wps:cNvSpPr>
                          <a:spLocks noChangeArrowheads="1"/>
                        </wps:cNvSpPr>
                        <wps:spPr bwMode="auto">
                          <a:xfrm>
                            <a:off x="1662494" y="3579080"/>
                            <a:ext cx="3111298" cy="344047"/>
                          </a:xfrm>
                          <a:prstGeom prst="rect">
                            <a:avLst/>
                          </a:prstGeom>
                          <a:solidFill>
                            <a:srgbClr val="FFFFFF"/>
                          </a:solidFill>
                          <a:ln w="9525">
                            <a:solidFill>
                              <a:srgbClr val="000000"/>
                            </a:solidFill>
                            <a:miter lim="800000"/>
                            <a:headEnd/>
                            <a:tailEnd/>
                          </a:ln>
                        </wps:spPr>
                        <wps:txbx>
                          <w:txbxContent>
                            <w:p w:rsidR="005C379B" w:rsidRDefault="005C379B" w:rsidP="005C379B">
                              <w:r>
                                <w:t>Бюджетный кредит</w:t>
                              </w:r>
                            </w:p>
                          </w:txbxContent>
                        </wps:txbx>
                        <wps:bodyPr rot="0" vert="horz" wrap="square" lIns="91440" tIns="45720" rIns="91440" bIns="45720" anchor="t" anchorCtr="0" upright="1">
                          <a:noAutofit/>
                        </wps:bodyPr>
                      </wps:wsp>
                      <wps:wsp>
                        <wps:cNvPr id="27" name="Rectangle 21"/>
                        <wps:cNvSpPr>
                          <a:spLocks noChangeArrowheads="1"/>
                        </wps:cNvSpPr>
                        <wps:spPr bwMode="auto">
                          <a:xfrm>
                            <a:off x="1662494" y="4018008"/>
                            <a:ext cx="3111298" cy="320946"/>
                          </a:xfrm>
                          <a:prstGeom prst="rect">
                            <a:avLst/>
                          </a:prstGeom>
                          <a:solidFill>
                            <a:srgbClr val="FFFFFF"/>
                          </a:solidFill>
                          <a:ln w="9525">
                            <a:solidFill>
                              <a:srgbClr val="000000"/>
                            </a:solidFill>
                            <a:miter lim="800000"/>
                            <a:headEnd/>
                            <a:tailEnd/>
                          </a:ln>
                        </wps:spPr>
                        <wps:txbx>
                          <w:txbxContent>
                            <w:p w:rsidR="005C379B" w:rsidRDefault="005C379B" w:rsidP="005C379B">
                              <w:r>
                                <w:t>Целевой иностранный кредит ( заимствование)</w:t>
                              </w:r>
                            </w:p>
                          </w:txbxContent>
                        </wps:txbx>
                        <wps:bodyPr rot="0" vert="horz" wrap="square" lIns="91440" tIns="45720" rIns="91440" bIns="45720" anchor="t" anchorCtr="0" upright="1">
                          <a:noAutofit/>
                        </wps:bodyPr>
                      </wps:wsp>
                      <wps:wsp>
                        <wps:cNvPr id="28" name="Rectangle 22"/>
                        <wps:cNvSpPr>
                          <a:spLocks noChangeArrowheads="1"/>
                        </wps:cNvSpPr>
                        <wps:spPr bwMode="auto">
                          <a:xfrm>
                            <a:off x="1662494" y="4338954"/>
                            <a:ext cx="3111298" cy="498332"/>
                          </a:xfrm>
                          <a:prstGeom prst="rect">
                            <a:avLst/>
                          </a:prstGeom>
                          <a:solidFill>
                            <a:srgbClr val="FFFFFF"/>
                          </a:solidFill>
                          <a:ln w="9525">
                            <a:solidFill>
                              <a:srgbClr val="000000"/>
                            </a:solidFill>
                            <a:miter lim="800000"/>
                            <a:headEnd/>
                            <a:tailEnd/>
                          </a:ln>
                        </wps:spPr>
                        <wps:txbx>
                          <w:txbxContent>
                            <w:p w:rsidR="005C379B" w:rsidRDefault="005C379B" w:rsidP="005C379B">
                              <w:r>
                                <w:t>Связанные кредиты правительств иностранных государств, банков и фирм</w:t>
                              </w:r>
                            </w:p>
                          </w:txbxContent>
                        </wps:txbx>
                        <wps:bodyPr rot="0" vert="horz" wrap="square" lIns="91440" tIns="45720" rIns="91440" bIns="45720" anchor="t" anchorCtr="0" upright="1">
                          <a:noAutofit/>
                        </wps:bodyPr>
                      </wps:wsp>
                      <wps:wsp>
                        <wps:cNvPr id="29" name="Rectangle 23"/>
                        <wps:cNvSpPr>
                          <a:spLocks noChangeArrowheads="1"/>
                        </wps:cNvSpPr>
                        <wps:spPr bwMode="auto">
                          <a:xfrm>
                            <a:off x="1662494" y="4956094"/>
                            <a:ext cx="3111298" cy="415827"/>
                          </a:xfrm>
                          <a:prstGeom prst="rect">
                            <a:avLst/>
                          </a:prstGeom>
                          <a:solidFill>
                            <a:srgbClr val="FFFFFF"/>
                          </a:solidFill>
                          <a:ln w="9525">
                            <a:solidFill>
                              <a:srgbClr val="000000"/>
                            </a:solidFill>
                            <a:miter lim="800000"/>
                            <a:headEnd/>
                            <a:tailEnd/>
                          </a:ln>
                        </wps:spPr>
                        <wps:txbx>
                          <w:txbxContent>
                            <w:p w:rsidR="005C379B" w:rsidRDefault="005C379B" w:rsidP="005C379B">
                              <w:r>
                                <w:t>Нефинансовые кредиты международных финансовых организаций</w:t>
                              </w:r>
                            </w:p>
                          </w:txbxContent>
                        </wps:txbx>
                        <wps:bodyPr rot="0" vert="horz" wrap="square" lIns="91440" tIns="45720" rIns="91440" bIns="45720" anchor="t" anchorCtr="0" upright="1">
                          <a:noAutofit/>
                        </wps:bodyPr>
                      </wps:wsp>
                      <wps:wsp>
                        <wps:cNvPr id="30" name="Rectangle 24"/>
                        <wps:cNvSpPr>
                          <a:spLocks noChangeArrowheads="1"/>
                        </wps:cNvSpPr>
                        <wps:spPr bwMode="auto">
                          <a:xfrm>
                            <a:off x="1662494" y="5371920"/>
                            <a:ext cx="3111298" cy="391900"/>
                          </a:xfrm>
                          <a:prstGeom prst="rect">
                            <a:avLst/>
                          </a:prstGeom>
                          <a:solidFill>
                            <a:srgbClr val="FFFFFF"/>
                          </a:solidFill>
                          <a:ln w="9525">
                            <a:solidFill>
                              <a:srgbClr val="000000"/>
                            </a:solidFill>
                            <a:miter lim="800000"/>
                            <a:headEnd/>
                            <a:tailEnd/>
                          </a:ln>
                        </wps:spPr>
                        <wps:txbx>
                          <w:txbxContent>
                            <w:p w:rsidR="005C379B" w:rsidRDefault="005C379B" w:rsidP="005C379B">
                              <w:r>
                                <w:t>Государственные и муниципальные гарантии</w:t>
                              </w:r>
                            </w:p>
                          </w:txbxContent>
                        </wps:txbx>
                        <wps:bodyPr rot="0" vert="horz" wrap="square" lIns="91440" tIns="45720" rIns="91440" bIns="45720" anchor="t" anchorCtr="0" upright="1">
                          <a:noAutofit/>
                        </wps:bodyPr>
                      </wps:wsp>
                      <wps:wsp>
                        <wps:cNvPr id="31" name="Rectangle 25"/>
                        <wps:cNvSpPr>
                          <a:spLocks noChangeArrowheads="1"/>
                        </wps:cNvSpPr>
                        <wps:spPr bwMode="auto">
                          <a:xfrm>
                            <a:off x="1662494" y="5870252"/>
                            <a:ext cx="3111298" cy="368799"/>
                          </a:xfrm>
                          <a:prstGeom prst="rect">
                            <a:avLst/>
                          </a:prstGeom>
                          <a:solidFill>
                            <a:srgbClr val="FFFFFF"/>
                          </a:solidFill>
                          <a:ln w="9525">
                            <a:solidFill>
                              <a:srgbClr val="000000"/>
                            </a:solidFill>
                            <a:miter lim="800000"/>
                            <a:headEnd/>
                            <a:tailEnd/>
                          </a:ln>
                        </wps:spPr>
                        <wps:txbx>
                          <w:txbxContent>
                            <w:p w:rsidR="005C379B" w:rsidRDefault="005C379B" w:rsidP="005C379B">
                              <w:r>
                                <w:t xml:space="preserve">Налоговые кредиты </w:t>
                              </w:r>
                            </w:p>
                          </w:txbxContent>
                        </wps:txbx>
                        <wps:bodyPr rot="0" vert="horz" wrap="square" lIns="91440" tIns="45720" rIns="91440" bIns="45720" anchor="t" anchorCtr="0" upright="1">
                          <a:noAutofit/>
                        </wps:bodyPr>
                      </wps:wsp>
                      <wps:wsp>
                        <wps:cNvPr id="32" name="Rectangle 26"/>
                        <wps:cNvSpPr>
                          <a:spLocks noChangeArrowheads="1"/>
                        </wps:cNvSpPr>
                        <wps:spPr bwMode="auto">
                          <a:xfrm>
                            <a:off x="1662494" y="6333932"/>
                            <a:ext cx="3111298" cy="320946"/>
                          </a:xfrm>
                          <a:prstGeom prst="rect">
                            <a:avLst/>
                          </a:prstGeom>
                          <a:solidFill>
                            <a:srgbClr val="FFFFFF"/>
                          </a:solidFill>
                          <a:ln w="9525">
                            <a:solidFill>
                              <a:srgbClr val="000000"/>
                            </a:solidFill>
                            <a:miter lim="800000"/>
                            <a:headEnd/>
                            <a:tailEnd/>
                          </a:ln>
                        </wps:spPr>
                        <wps:txbx>
                          <w:txbxContent>
                            <w:p w:rsidR="005C379B" w:rsidRDefault="005C379B" w:rsidP="005C379B">
                              <w:r>
                                <w:t>Налоговые льготы и преференции</w:t>
                              </w:r>
                            </w:p>
                          </w:txbxContent>
                        </wps:txbx>
                        <wps:bodyPr rot="0" vert="horz" wrap="square" lIns="91440" tIns="45720" rIns="91440" bIns="45720" anchor="t" anchorCtr="0" upright="1">
                          <a:noAutofit/>
                        </wps:bodyPr>
                      </wps:wsp>
                      <wps:wsp>
                        <wps:cNvPr id="33" name="AutoShape 27"/>
                        <wps:cNvCnPr>
                          <a:cxnSpLocks noChangeShapeType="1"/>
                          <a:stCxn id="17" idx="3"/>
                          <a:endCxn id="18" idx="1"/>
                        </wps:cNvCnPr>
                        <wps:spPr bwMode="auto">
                          <a:xfrm flipV="1">
                            <a:off x="700475" y="366324"/>
                            <a:ext cx="962019" cy="3515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8"/>
                        <wps:cNvCnPr>
                          <a:cxnSpLocks noChangeShapeType="1"/>
                          <a:stCxn id="17" idx="3"/>
                          <a:endCxn id="19" idx="1"/>
                        </wps:cNvCnPr>
                        <wps:spPr bwMode="auto">
                          <a:xfrm flipV="1">
                            <a:off x="700475" y="795351"/>
                            <a:ext cx="962019" cy="3086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9"/>
                        <wps:cNvCnPr>
                          <a:cxnSpLocks noChangeShapeType="1"/>
                          <a:stCxn id="17" idx="3"/>
                          <a:endCxn id="20" idx="1"/>
                        </wps:cNvCnPr>
                        <wps:spPr bwMode="auto">
                          <a:xfrm flipV="1">
                            <a:off x="700475" y="1215303"/>
                            <a:ext cx="962019" cy="2666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0"/>
                        <wps:cNvCnPr>
                          <a:cxnSpLocks noChangeShapeType="1"/>
                          <a:stCxn id="17" idx="3"/>
                          <a:endCxn id="21" idx="1"/>
                        </wps:cNvCnPr>
                        <wps:spPr bwMode="auto">
                          <a:xfrm flipV="1">
                            <a:off x="700475" y="1630305"/>
                            <a:ext cx="962019" cy="2251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1"/>
                        <wps:cNvCnPr>
                          <a:cxnSpLocks noChangeShapeType="1"/>
                          <a:stCxn id="17" idx="3"/>
                          <a:endCxn id="22" idx="1"/>
                        </wps:cNvCnPr>
                        <wps:spPr bwMode="auto">
                          <a:xfrm flipV="1">
                            <a:off x="700475" y="2082434"/>
                            <a:ext cx="962019" cy="1799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32"/>
                        <wps:cNvCnPr>
                          <a:cxnSpLocks noChangeShapeType="1"/>
                          <a:stCxn id="17" idx="3"/>
                          <a:endCxn id="23" idx="1"/>
                        </wps:cNvCnPr>
                        <wps:spPr bwMode="auto">
                          <a:xfrm flipV="1">
                            <a:off x="700475" y="2468559"/>
                            <a:ext cx="962019" cy="14133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33"/>
                        <wps:cNvCnPr>
                          <a:cxnSpLocks noChangeShapeType="1"/>
                          <a:stCxn id="17" idx="3"/>
                          <a:endCxn id="24" idx="1"/>
                        </wps:cNvCnPr>
                        <wps:spPr bwMode="auto">
                          <a:xfrm flipV="1">
                            <a:off x="700475" y="2878610"/>
                            <a:ext cx="962019" cy="1003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34"/>
                        <wps:cNvCnPr>
                          <a:cxnSpLocks noChangeShapeType="1"/>
                          <a:stCxn id="17" idx="3"/>
                          <a:endCxn id="25" idx="1"/>
                        </wps:cNvCnPr>
                        <wps:spPr bwMode="auto">
                          <a:xfrm flipV="1">
                            <a:off x="700475" y="3323314"/>
                            <a:ext cx="962019" cy="5585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35"/>
                        <wps:cNvCnPr>
                          <a:cxnSpLocks noChangeShapeType="1"/>
                          <a:stCxn id="17" idx="3"/>
                          <a:endCxn id="26" idx="1"/>
                        </wps:cNvCnPr>
                        <wps:spPr bwMode="auto">
                          <a:xfrm flipV="1">
                            <a:off x="700475" y="3750691"/>
                            <a:ext cx="962019" cy="1311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36"/>
                        <wps:cNvCnPr>
                          <a:cxnSpLocks noChangeShapeType="1"/>
                          <a:stCxn id="17" idx="3"/>
                          <a:endCxn id="27" idx="1"/>
                        </wps:cNvCnPr>
                        <wps:spPr bwMode="auto">
                          <a:xfrm>
                            <a:off x="700475" y="3881875"/>
                            <a:ext cx="962019" cy="2970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37"/>
                        <wps:cNvCnPr>
                          <a:cxnSpLocks noChangeShapeType="1"/>
                          <a:stCxn id="17" idx="3"/>
                          <a:endCxn id="28" idx="1"/>
                        </wps:cNvCnPr>
                        <wps:spPr bwMode="auto">
                          <a:xfrm>
                            <a:off x="700475" y="3881875"/>
                            <a:ext cx="962019" cy="706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8"/>
                        <wps:cNvCnPr>
                          <a:cxnSpLocks noChangeShapeType="1"/>
                          <a:stCxn id="17" idx="3"/>
                          <a:endCxn id="29" idx="1"/>
                        </wps:cNvCnPr>
                        <wps:spPr bwMode="auto">
                          <a:xfrm>
                            <a:off x="700475" y="3881875"/>
                            <a:ext cx="962019" cy="12829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9"/>
                        <wps:cNvCnPr>
                          <a:cxnSpLocks noChangeShapeType="1"/>
                          <a:stCxn id="17" idx="3"/>
                          <a:endCxn id="30" idx="1"/>
                        </wps:cNvCnPr>
                        <wps:spPr bwMode="auto">
                          <a:xfrm>
                            <a:off x="700475" y="3881875"/>
                            <a:ext cx="962019" cy="1686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40"/>
                        <wps:cNvCnPr>
                          <a:cxnSpLocks noChangeShapeType="1"/>
                          <a:stCxn id="17" idx="3"/>
                          <a:endCxn id="31" idx="1"/>
                        </wps:cNvCnPr>
                        <wps:spPr bwMode="auto">
                          <a:xfrm>
                            <a:off x="700475" y="3881875"/>
                            <a:ext cx="962019" cy="2173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41"/>
                        <wps:cNvCnPr>
                          <a:cxnSpLocks noChangeShapeType="1"/>
                          <a:stCxn id="17" idx="3"/>
                          <a:endCxn id="32" idx="1"/>
                        </wps:cNvCnPr>
                        <wps:spPr bwMode="auto">
                          <a:xfrm>
                            <a:off x="700475" y="3881875"/>
                            <a:ext cx="962019" cy="2612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8" o:spid="_x0000_s1091" editas="canvas" style="width:467.75pt;height:618.4pt;mso-position-horizontal-relative:char;mso-position-vertical-relative:line" coordsize="59404,7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">
                <v:shape id="_x0000_s1092" type="#_x0000_t75" style="position:absolute;width:59404;height:78536;visibility:visible;mso-wrap-style:square">
                  <v:fill o:detectmouseclick="t"/>
                  <v:path o:connecttype="none"/>
                </v:shape>
                <v:rect id="Rectangle 11" o:spid="_x0000_s1093" style="position:absolute;left:4150;top:2178;width:2854;height:7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5C379B" w:rsidRDefault="005C379B" w:rsidP="005C379B">
                        <w:pPr>
                          <w:rPr>
                            <w:rFonts w:ascii="Times New Roman" w:hAnsi="Times New Roman"/>
                          </w:rPr>
                        </w:pPr>
                        <w:r w:rsidRPr="00C01C6C">
                          <w:rPr>
                            <w:rFonts w:ascii="Times New Roman" w:hAnsi="Times New Roman"/>
                          </w:rPr>
                          <w:t>Формы предоставления</w:t>
                        </w:r>
                      </w:p>
                      <w:p w:rsidR="005C379B" w:rsidRDefault="005C379B" w:rsidP="005C379B">
                        <w:pPr>
                          <w:rPr>
                            <w:rFonts w:ascii="Times New Roman" w:hAnsi="Times New Roman"/>
                          </w:rPr>
                        </w:pPr>
                        <w:r w:rsidRPr="00C01C6C">
                          <w:rPr>
                            <w:rFonts w:ascii="Times New Roman" w:hAnsi="Times New Roman"/>
                          </w:rPr>
                          <w:t xml:space="preserve"> бюджетных </w:t>
                        </w:r>
                      </w:p>
                      <w:p w:rsidR="005C379B" w:rsidRPr="00C01C6C" w:rsidRDefault="005C379B" w:rsidP="005C379B">
                        <w:pPr>
                          <w:rPr>
                            <w:rFonts w:ascii="Times New Roman" w:hAnsi="Times New Roman"/>
                          </w:rPr>
                        </w:pPr>
                        <w:r w:rsidRPr="00C01C6C">
                          <w:rPr>
                            <w:rFonts w:ascii="Times New Roman" w:hAnsi="Times New Roman"/>
                          </w:rPr>
                          <w:t xml:space="preserve">средств </w:t>
                        </w:r>
                      </w:p>
                    </w:txbxContent>
                  </v:textbox>
                </v:rect>
                <v:rect id="Rectangle 12" o:spid="_x0000_s1094" style="position:absolute;left:16624;top:2178;width:31113;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5C379B" w:rsidRDefault="005C379B" w:rsidP="005C379B">
                        <w:r>
                          <w:t>Дотации</w:t>
                        </w:r>
                      </w:p>
                    </w:txbxContent>
                  </v:textbox>
                </v:rect>
                <v:rect id="Rectangle 13" o:spid="_x0000_s1095" style="position:absolute;left:16624;top:6583;width:31113;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5C379B" w:rsidRDefault="005C379B" w:rsidP="005C379B">
                        <w:r>
                          <w:t>Субвенции</w:t>
                        </w:r>
                      </w:p>
                    </w:txbxContent>
                  </v:textbox>
                </v:rect>
                <v:rect id="Rectangle 14" o:spid="_x0000_s1096" style="position:absolute;left:16624;top:10486;width:3111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5C379B" w:rsidRDefault="005C379B" w:rsidP="005C379B">
                        <w:r>
                          <w:t>Взаимозачеты</w:t>
                        </w:r>
                      </w:p>
                    </w:txbxContent>
                  </v:textbox>
                </v:rect>
                <v:rect id="Rectangle 15" o:spid="_x0000_s1097" style="position:absolute;left:16624;top:14875;width:31460;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5C379B" w:rsidRDefault="005C379B" w:rsidP="005C379B">
                        <w:r>
                          <w:t>Бюджетные ссуды</w:t>
                        </w:r>
                      </w:p>
                    </w:txbxContent>
                  </v:textbox>
                </v:rect>
                <v:rect id="Rectangle 16" o:spid="_x0000_s1098" style="position:absolute;left:16624;top:19157;width:31460;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5C379B" w:rsidRDefault="005C379B" w:rsidP="005C379B">
                        <w:r>
                          <w:t xml:space="preserve">Трансферты </w:t>
                        </w:r>
                      </w:p>
                    </w:txbxContent>
                  </v:textbox>
                </v:rect>
                <v:rect id="Rectangle 17" o:spid="_x0000_s1099" style="position:absolute;left:16624;top:23316;width:31113;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5C379B" w:rsidRDefault="005C379B" w:rsidP="005C379B">
                        <w:r>
                          <w:t>Субсидии</w:t>
                        </w:r>
                      </w:p>
                    </w:txbxContent>
                  </v:textbox>
                </v:rect>
                <v:rect id="Rectangle 18" o:spid="_x0000_s1100" style="position:absolute;left:16624;top:27119;width:31113;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5C379B" w:rsidRDefault="005C379B" w:rsidP="005C379B">
                        <w:r>
                          <w:t>Государственный или муниципальный заем</w:t>
                        </w:r>
                      </w:p>
                    </w:txbxContent>
                  </v:textbox>
                </v:rect>
                <v:rect id="Rectangle 19" o:spid="_x0000_s1101" style="position:absolute;left:16624;top:31632;width:31113;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5C379B" w:rsidRDefault="005C379B" w:rsidP="005C379B">
                        <w:r>
                          <w:t>Бюджетные ассигнования</w:t>
                        </w:r>
                      </w:p>
                    </w:txbxContent>
                  </v:textbox>
                </v:rect>
                <v:rect id="Rectangle 20" o:spid="_x0000_s1102" style="position:absolute;left:16624;top:35790;width:3111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5C379B" w:rsidRDefault="005C379B" w:rsidP="005C379B">
                        <w:r>
                          <w:t>Бюджетный кредит</w:t>
                        </w:r>
                      </w:p>
                    </w:txbxContent>
                  </v:textbox>
                </v:rect>
                <v:rect id="Rectangle 21" o:spid="_x0000_s1103" style="position:absolute;left:16624;top:40180;width:31113;height:3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5C379B" w:rsidRDefault="005C379B" w:rsidP="005C379B">
                        <w:r>
                          <w:t>Целевой иностранный кредит ( заимствование)</w:t>
                        </w:r>
                      </w:p>
                    </w:txbxContent>
                  </v:textbox>
                </v:rect>
                <v:rect id="Rectangle 22" o:spid="_x0000_s1104" style="position:absolute;left:16624;top:43389;width:31113;height:4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5C379B" w:rsidRDefault="005C379B" w:rsidP="005C379B">
                        <w:r>
                          <w:t>Связанные кредиты правительств иностранных государств, банков и фирм</w:t>
                        </w:r>
                      </w:p>
                    </w:txbxContent>
                  </v:textbox>
                </v:rect>
                <v:rect id="Rectangle 23" o:spid="_x0000_s1105" style="position:absolute;left:16624;top:49560;width:31113;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5C379B" w:rsidRDefault="005C379B" w:rsidP="005C379B">
                        <w:r>
                          <w:t>Нефинансовые кредиты международных финансовых организаций</w:t>
                        </w:r>
                      </w:p>
                    </w:txbxContent>
                  </v:textbox>
                </v:rect>
                <v:rect id="Rectangle 24" o:spid="_x0000_s1106" style="position:absolute;left:16624;top:53719;width:31113;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5C379B" w:rsidRDefault="005C379B" w:rsidP="005C379B">
                        <w:r>
                          <w:t>Государственные и муниципальные гарантии</w:t>
                        </w:r>
                      </w:p>
                    </w:txbxContent>
                  </v:textbox>
                </v:rect>
                <v:rect id="Rectangle 25" o:spid="_x0000_s1107" style="position:absolute;left:16624;top:58702;width:31113;height:3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5C379B" w:rsidRDefault="005C379B" w:rsidP="005C379B">
                        <w:r>
                          <w:t xml:space="preserve">Налоговые кредиты </w:t>
                        </w:r>
                      </w:p>
                    </w:txbxContent>
                  </v:textbox>
                </v:rect>
                <v:rect id="Rectangle 26" o:spid="_x0000_s1108" style="position:absolute;left:16624;top:63339;width:31113;height:3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5C379B" w:rsidRDefault="005C379B" w:rsidP="005C379B">
                        <w:r>
                          <w:t>Налоговые льготы и преференции</w:t>
                        </w:r>
                      </w:p>
                    </w:txbxContent>
                  </v:textbox>
                </v:rect>
                <v:shape id="AutoShape 27" o:spid="_x0000_s1109" type="#_x0000_t32" style="position:absolute;left:7004;top:3663;width:9620;height:351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28" o:spid="_x0000_s1110" type="#_x0000_t32" style="position:absolute;left:7004;top:7953;width:9620;height:308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29" o:spid="_x0000_s1111" type="#_x0000_t32" style="position:absolute;left:7004;top:12153;width:9620;height:266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30" o:spid="_x0000_s1112" type="#_x0000_t32" style="position:absolute;left:7004;top:16303;width:9620;height:22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31" o:spid="_x0000_s1113" type="#_x0000_t32" style="position:absolute;left:7004;top:20824;width:9620;height:179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32" o:spid="_x0000_s1114" type="#_x0000_t32" style="position:absolute;left:7004;top:24685;width:9620;height:14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33" o:spid="_x0000_s1115" type="#_x0000_t32" style="position:absolute;left:7004;top:28786;width:9620;height:100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34" o:spid="_x0000_s1116" type="#_x0000_t32" style="position:absolute;left:7004;top:33233;width:9620;height:55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35" o:spid="_x0000_s1117" type="#_x0000_t32" style="position:absolute;left:7004;top:37506;width:9620;height:13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AutoShape 36" o:spid="_x0000_s1118" type="#_x0000_t32" style="position:absolute;left:7004;top:38818;width:9620;height:2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37" o:spid="_x0000_s1119" type="#_x0000_t32" style="position:absolute;left:7004;top:38818;width:9620;height:70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38" o:spid="_x0000_s1120" type="#_x0000_t32" style="position:absolute;left:7004;top:38818;width:9620;height:128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39" o:spid="_x0000_s1121" type="#_x0000_t32" style="position:absolute;left:7004;top:38818;width:9620;height:16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40" o:spid="_x0000_s1122" type="#_x0000_t32" style="position:absolute;left:7004;top:38818;width:9620;height:21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41" o:spid="_x0000_s1123" type="#_x0000_t32" style="position:absolute;left:7004;top:38818;width:9620;height:26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w10:anchorlock/>
              </v:group>
            </w:pict>
          </mc:Fallback>
        </mc:AlternateConten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Рисунок 9.1 Формы предоставления бюджетных средств</w:t>
      </w:r>
    </w:p>
    <w:p w:rsidR="005C379B" w:rsidRPr="005C379B" w:rsidRDefault="005C379B" w:rsidP="005C379B">
      <w:pPr>
        <w:widowControl w:val="0"/>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mc:AlternateContent>
          <mc:Choice Requires="wpc">
            <w:drawing>
              <wp:inline distT="0" distB="0" distL="0" distR="0">
                <wp:extent cx="5940425" cy="3347085"/>
                <wp:effectExtent l="3810" t="0" r="0" b="0"/>
                <wp:docPr id="16" name="Полотно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Rectangle 4"/>
                        <wps:cNvSpPr>
                          <a:spLocks noChangeArrowheads="1"/>
                        </wps:cNvSpPr>
                        <wps:spPr bwMode="auto">
                          <a:xfrm>
                            <a:off x="475234" y="166653"/>
                            <a:ext cx="5240775" cy="518934"/>
                          </a:xfrm>
                          <a:prstGeom prst="rect">
                            <a:avLst/>
                          </a:prstGeom>
                          <a:solidFill>
                            <a:srgbClr val="FFFFFF"/>
                          </a:solidFill>
                          <a:ln w="9525">
                            <a:solidFill>
                              <a:srgbClr val="000000"/>
                            </a:solidFill>
                            <a:miter lim="800000"/>
                            <a:headEnd/>
                            <a:tailEnd/>
                          </a:ln>
                        </wps:spPr>
                        <wps:txbx>
                          <w:txbxContent>
                            <w:p w:rsidR="005C379B" w:rsidRDefault="005C379B" w:rsidP="005C379B">
                              <w:pPr>
                                <w:jc w:val="center"/>
                              </w:pPr>
                              <w:r>
                                <w:t xml:space="preserve">Формы финансовой поддержки </w:t>
                              </w:r>
                            </w:p>
                          </w:txbxContent>
                        </wps:txbx>
                        <wps:bodyPr rot="0" vert="horz" wrap="square" lIns="91440" tIns="45720" rIns="91440" bIns="45720" anchor="t" anchorCtr="0" upright="1">
                          <a:noAutofit/>
                        </wps:bodyPr>
                      </wps:wsp>
                      <wps:wsp>
                        <wps:cNvPr id="12" name="AutoShape 5"/>
                        <wps:cNvSpPr>
                          <a:spLocks noChangeArrowheads="1"/>
                        </wps:cNvSpPr>
                        <wps:spPr bwMode="auto">
                          <a:xfrm>
                            <a:off x="406754" y="685587"/>
                            <a:ext cx="5390936" cy="1037044"/>
                          </a:xfrm>
                          <a:prstGeom prst="roundRect">
                            <a:avLst>
                              <a:gd name="adj" fmla="val 16667"/>
                            </a:avLst>
                          </a:prstGeom>
                          <a:solidFill>
                            <a:srgbClr val="FFFFFF"/>
                          </a:solidFill>
                          <a:ln w="9525">
                            <a:solidFill>
                              <a:srgbClr val="000000"/>
                            </a:solidFill>
                            <a:round/>
                            <a:headEnd/>
                            <a:tailEnd/>
                          </a:ln>
                        </wps:spPr>
                        <wps:txbx>
                          <w:txbxContent>
                            <w:p w:rsidR="005C379B" w:rsidRPr="003F683F" w:rsidRDefault="005C379B" w:rsidP="005C379B">
                              <w:pPr>
                                <w:jc w:val="both"/>
                                <w:rPr>
                                  <w:sz w:val="20"/>
                                  <w:szCs w:val="20"/>
                                </w:rPr>
                              </w:pPr>
                              <w:r w:rsidRPr="003F683F">
                                <w:rPr>
                                  <w:sz w:val="20"/>
                                  <w:szCs w:val="20"/>
                                </w:rPr>
                                <w:t>бюджетный кредит – определенные бюджетные средства, которые могут быть предоставлены на основании отдельной строки бюджета региона, выданные на определенные цели, или на основании отдельного кредитного договора, который заключают органы исполнительной власти субъекта с тем юридическим лицом или органом, которому выдаются соответствующие средства. В договоре должны быть прописаны сумма, ставка процента по кредиту, срок, форма и порядок погашения, цели, на которые он берется</w:t>
                              </w:r>
                            </w:p>
                          </w:txbxContent>
                        </wps:txbx>
                        <wps:bodyPr rot="0" vert="horz" wrap="square" lIns="91440" tIns="45720" rIns="91440" bIns="45720" anchor="t" anchorCtr="0" upright="1">
                          <a:noAutofit/>
                        </wps:bodyPr>
                      </wps:wsp>
                      <wps:wsp>
                        <wps:cNvPr id="13" name="AutoShape 6"/>
                        <wps:cNvSpPr>
                          <a:spLocks noChangeArrowheads="1"/>
                        </wps:cNvSpPr>
                        <wps:spPr bwMode="auto">
                          <a:xfrm>
                            <a:off x="406754" y="1722631"/>
                            <a:ext cx="5309255" cy="491709"/>
                          </a:xfrm>
                          <a:prstGeom prst="roundRect">
                            <a:avLst>
                              <a:gd name="adj" fmla="val 16667"/>
                            </a:avLst>
                          </a:prstGeom>
                          <a:solidFill>
                            <a:srgbClr val="FFFFFF"/>
                          </a:solidFill>
                          <a:ln w="9525">
                            <a:solidFill>
                              <a:srgbClr val="000000"/>
                            </a:solidFill>
                            <a:round/>
                            <a:headEnd/>
                            <a:tailEnd/>
                          </a:ln>
                        </wps:spPr>
                        <wps:txbx>
                          <w:txbxContent>
                            <w:p w:rsidR="005C379B" w:rsidRPr="003F683F" w:rsidRDefault="005C379B" w:rsidP="005C379B">
                              <w:pPr>
                                <w:jc w:val="both"/>
                              </w:pPr>
                              <w:r w:rsidRPr="003F683F">
                                <w:t>Бюджетные дотации – предоставляются бюджетам нижестоящего уровня на нецелевой безвозмездной и безвозвратной основе</w:t>
                              </w:r>
                            </w:p>
                          </w:txbxContent>
                        </wps:txbx>
                        <wps:bodyPr rot="0" vert="horz" wrap="square" lIns="91440" tIns="45720" rIns="91440" bIns="45720" anchor="t" anchorCtr="0" upright="1">
                          <a:noAutofit/>
                        </wps:bodyPr>
                      </wps:wsp>
                      <wps:wsp>
                        <wps:cNvPr id="14" name="AutoShape 7"/>
                        <wps:cNvSpPr>
                          <a:spLocks noChangeArrowheads="1"/>
                        </wps:cNvSpPr>
                        <wps:spPr bwMode="auto">
                          <a:xfrm>
                            <a:off x="406754" y="2214340"/>
                            <a:ext cx="5309255" cy="641862"/>
                          </a:xfrm>
                          <a:prstGeom prst="roundRect">
                            <a:avLst>
                              <a:gd name="adj" fmla="val 16667"/>
                            </a:avLst>
                          </a:prstGeom>
                          <a:solidFill>
                            <a:srgbClr val="FFFFFF"/>
                          </a:solidFill>
                          <a:ln w="9525">
                            <a:solidFill>
                              <a:srgbClr val="000000"/>
                            </a:solidFill>
                            <a:round/>
                            <a:headEnd/>
                            <a:tailEnd/>
                          </a:ln>
                        </wps:spPr>
                        <wps:txbx>
                          <w:txbxContent>
                            <w:p w:rsidR="005C379B" w:rsidRPr="003F683F" w:rsidRDefault="005C379B" w:rsidP="005C379B">
                              <w:pPr>
                                <w:jc w:val="both"/>
                                <w:rPr>
                                  <w:sz w:val="20"/>
                                  <w:szCs w:val="20"/>
                                </w:rPr>
                              </w:pPr>
                              <w:r w:rsidRPr="003F683F">
                                <w:rPr>
                                  <w:sz w:val="20"/>
                                  <w:szCs w:val="20"/>
                                </w:rPr>
                                <w:t>Бюджетные субсидии – предоставляется бюджетам нижестоящего уровня на долевой основе; может носить как безвозвратный, так и возвратный характер</w:t>
                              </w:r>
                            </w:p>
                          </w:txbxContent>
                        </wps:txbx>
                        <wps:bodyPr rot="0" vert="horz" wrap="square" lIns="91440" tIns="45720" rIns="91440" bIns="45720" anchor="t" anchorCtr="0" upright="1">
                          <a:noAutofit/>
                        </wps:bodyPr>
                      </wps:wsp>
                      <wps:wsp>
                        <wps:cNvPr id="15" name="AutoShape 8"/>
                        <wps:cNvSpPr>
                          <a:spLocks noChangeArrowheads="1"/>
                        </wps:cNvSpPr>
                        <wps:spPr bwMode="auto">
                          <a:xfrm>
                            <a:off x="406754" y="2856201"/>
                            <a:ext cx="5309255" cy="353931"/>
                          </a:xfrm>
                          <a:prstGeom prst="roundRect">
                            <a:avLst>
                              <a:gd name="adj" fmla="val 16667"/>
                            </a:avLst>
                          </a:prstGeom>
                          <a:solidFill>
                            <a:srgbClr val="FFFFFF"/>
                          </a:solidFill>
                          <a:ln w="9525">
                            <a:solidFill>
                              <a:srgbClr val="000000"/>
                            </a:solidFill>
                            <a:round/>
                            <a:headEnd/>
                            <a:tailEnd/>
                          </a:ln>
                        </wps:spPr>
                        <wps:txbx>
                          <w:txbxContent>
                            <w:p w:rsidR="005C379B" w:rsidRPr="003F683F" w:rsidRDefault="005C379B" w:rsidP="005C379B">
                              <w:pPr>
                                <w:spacing w:after="4" w:line="248" w:lineRule="auto"/>
                                <w:ind w:right="52"/>
                                <w:jc w:val="center"/>
                                <w:rPr>
                                  <w:sz w:val="20"/>
                                  <w:szCs w:val="20"/>
                                </w:rPr>
                              </w:pPr>
                              <w:r w:rsidRPr="003F683F">
                                <w:rPr>
                                  <w:sz w:val="20"/>
                                  <w:szCs w:val="20"/>
                                </w:rPr>
                                <w:t>Бюджетная субвенция – целевая, безвозвратная, безвозмездная финансовая поддержка.</w:t>
                              </w:r>
                            </w:p>
                            <w:p w:rsidR="005C379B" w:rsidRDefault="005C379B" w:rsidP="005C379B"/>
                          </w:txbxContent>
                        </wps:txbx>
                        <wps:bodyPr rot="0" vert="horz" wrap="square" lIns="91440" tIns="45720" rIns="91440" bIns="45720" anchor="t" anchorCtr="0" upright="1">
                          <a:noAutofit/>
                        </wps:bodyPr>
                      </wps:wsp>
                    </wpc:wpc>
                  </a:graphicData>
                </a:graphic>
              </wp:inline>
            </w:drawing>
          </mc:Choice>
          <mc:Fallback>
            <w:pict>
              <v:group id="Полотно 16" o:spid="_x0000_s1124" editas="canvas" style="width:467.75pt;height:263.55pt;mso-position-horizontal-relative:char;mso-position-vertical-relative:line" coordsize="59404,3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">
                <v:shape id="_x0000_s1125" type="#_x0000_t75" style="position:absolute;width:59404;height:33470;visibility:visible;mso-wrap-style:square">
                  <v:fill o:detectmouseclick="t"/>
                  <v:path o:connecttype="none"/>
                </v:shape>
                <v:rect id="Rectangle 4" o:spid="_x0000_s1126" style="position:absolute;left:4752;top:1666;width:52408;height:5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5C379B" w:rsidRDefault="005C379B" w:rsidP="005C379B">
                        <w:pPr>
                          <w:jc w:val="center"/>
                        </w:pPr>
                        <w:r>
                          <w:t xml:space="preserve">Формы финансовой поддержки </w:t>
                        </w:r>
                      </w:p>
                    </w:txbxContent>
                  </v:textbox>
                </v:rect>
                <v:roundrect id="AutoShape 5" o:spid="_x0000_s1127" style="position:absolute;left:4067;top:6855;width:53909;height:10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w:txbxContent>
                      <w:p w:rsidR="005C379B" w:rsidRPr="003F683F" w:rsidRDefault="005C379B" w:rsidP="005C379B">
                        <w:pPr>
                          <w:jc w:val="both"/>
                          <w:rPr>
                            <w:sz w:val="20"/>
                            <w:szCs w:val="20"/>
                          </w:rPr>
                        </w:pPr>
                        <w:r w:rsidRPr="003F683F">
                          <w:rPr>
                            <w:sz w:val="20"/>
                            <w:szCs w:val="20"/>
                          </w:rPr>
                          <w:t>бюджетный кредит – определенные бюджетные средства, которые могут быть предоставлены на основании отдельной строки бюджета региона, выданные на определенные цели, или на основании отдельного кредитного договора, который заключают органы исполнительной власти субъекта с тем юридическим лицом или органом, которому выдаются соответствующие средства. В договоре должны быть прописаны сумма, ставка процента по кредиту, срок, форма и порядок погашения, цели, на которые он берется</w:t>
                        </w:r>
                      </w:p>
                    </w:txbxContent>
                  </v:textbox>
                </v:roundrect>
                <v:roundrect id="AutoShape 6" o:spid="_x0000_s1128" style="position:absolute;left:4067;top:17226;width:53093;height:49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rsidR="005C379B" w:rsidRPr="003F683F" w:rsidRDefault="005C379B" w:rsidP="005C379B">
                        <w:pPr>
                          <w:jc w:val="both"/>
                        </w:pPr>
                        <w:r w:rsidRPr="003F683F">
                          <w:t>Бюджетные дотации – предоставляются бюджетам нижестоящего уровня на нецелевой безвозмездной и безвозвратной основе</w:t>
                        </w:r>
                      </w:p>
                    </w:txbxContent>
                  </v:textbox>
                </v:roundrect>
                <v:roundrect id="AutoShape 7" o:spid="_x0000_s1129" style="position:absolute;left:4067;top:22143;width:53093;height:6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wacEA&#10;AADbAAAADwAAAGRycy9kb3ducmV2LnhtbERPTWsCMRC9C/6HMEJvmihW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cGnBAAAA2wAAAA8AAAAAAAAAAAAAAAAAmAIAAGRycy9kb3du&#10;cmV2LnhtbFBLBQYAAAAABAAEAPUAAACGAwAAAAA=&#10;">
                  <v:textbox>
                    <w:txbxContent>
                      <w:p w:rsidR="005C379B" w:rsidRPr="003F683F" w:rsidRDefault="005C379B" w:rsidP="005C379B">
                        <w:pPr>
                          <w:jc w:val="both"/>
                          <w:rPr>
                            <w:sz w:val="20"/>
                            <w:szCs w:val="20"/>
                          </w:rPr>
                        </w:pPr>
                        <w:r w:rsidRPr="003F683F">
                          <w:rPr>
                            <w:sz w:val="20"/>
                            <w:szCs w:val="20"/>
                          </w:rPr>
                          <w:t>Бюджетные субсидии – предоставляется бюджетам нижестоящего уровня на долевой основе; может носить как безвозвратный, так и возвратный характер</w:t>
                        </w:r>
                      </w:p>
                    </w:txbxContent>
                  </v:textbox>
                </v:roundrect>
                <v:roundrect id="AutoShape 8" o:spid="_x0000_s1130" style="position:absolute;left:4067;top:28562;width:53093;height:35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rsidR="005C379B" w:rsidRPr="003F683F" w:rsidRDefault="005C379B" w:rsidP="005C379B">
                        <w:pPr>
                          <w:spacing w:after="4" w:line="248" w:lineRule="auto"/>
                          <w:ind w:right="52"/>
                          <w:jc w:val="center"/>
                          <w:rPr>
                            <w:sz w:val="20"/>
                            <w:szCs w:val="20"/>
                          </w:rPr>
                        </w:pPr>
                        <w:r w:rsidRPr="003F683F">
                          <w:rPr>
                            <w:sz w:val="20"/>
                            <w:szCs w:val="20"/>
                          </w:rPr>
                          <w:t>Бюджетная субвенция – целевая, безвозвратная, безвозмездная финансовая поддержка.</w:t>
                        </w:r>
                      </w:p>
                      <w:p w:rsidR="005C379B" w:rsidRDefault="005C379B" w:rsidP="005C379B"/>
                    </w:txbxContent>
                  </v:textbox>
                </v:roundrect>
                <w10:anchorlock/>
              </v:group>
            </w:pict>
          </mc:Fallback>
        </mc:AlternateContent>
      </w:r>
    </w:p>
    <w:p w:rsidR="005C379B" w:rsidRPr="005C379B" w:rsidRDefault="005C379B" w:rsidP="005C379B">
      <w:pPr>
        <w:jc w:val="center"/>
        <w:rPr>
          <w:rFonts w:ascii="Times New Roman" w:eastAsia="Calibri" w:hAnsi="Times New Roman" w:cs="Times New Roman"/>
          <w:sz w:val="28"/>
          <w:szCs w:val="28"/>
        </w:rPr>
      </w:pPr>
      <w:r w:rsidRPr="005C379B">
        <w:rPr>
          <w:rFonts w:ascii="Times New Roman" w:eastAsia="Calibri" w:hAnsi="Times New Roman" w:cs="Times New Roman"/>
          <w:sz w:val="28"/>
          <w:szCs w:val="28"/>
        </w:rPr>
        <w:t>Рисунок 9.2  Формы финансовой поддержки</w:t>
      </w:r>
    </w:p>
    <w:p w:rsidR="005C379B" w:rsidRPr="005C379B" w:rsidRDefault="005C379B" w:rsidP="005C379B">
      <w:pPr>
        <w:jc w:val="center"/>
        <w:rPr>
          <w:rFonts w:ascii="Calibri" w:eastAsia="Calibri" w:hAnsi="Calibri" w:cs="Times New Roman"/>
        </w:rPr>
      </w:pPr>
    </w:p>
    <w:p w:rsidR="005C379B" w:rsidRPr="005C379B" w:rsidRDefault="005C379B" w:rsidP="005C379B">
      <w:pPr>
        <w:jc w:val="center"/>
        <w:rPr>
          <w:rFonts w:ascii="Calibri" w:eastAsia="Calibri" w:hAnsi="Calibri" w:cs="Times New Roman"/>
        </w:rPr>
      </w:pPr>
    </w:p>
    <w:p w:rsidR="005C379B" w:rsidRPr="005C379B" w:rsidRDefault="005C379B" w:rsidP="005C379B">
      <w:pPr>
        <w:jc w:val="center"/>
        <w:rPr>
          <w:rFonts w:ascii="Calibri" w:eastAsia="Calibri" w:hAnsi="Calibri" w:cs="Times New Roman"/>
        </w:rPr>
      </w:pPr>
    </w:p>
    <w:p w:rsidR="005C379B" w:rsidRPr="005C379B" w:rsidRDefault="005C379B" w:rsidP="005C379B">
      <w:pPr>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5575AA" w:rsidRDefault="00342F9C"/>
    <w:p w:rsidR="00342F9C" w:rsidRDefault="00342F9C">
      <w:bookmarkStart w:id="0" w:name="_GoBack"/>
      <w:bookmarkEnd w:id="0"/>
    </w:p>
    <w:sectPr w:rsidR="00342F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0110D"/>
    <w:multiLevelType w:val="multilevel"/>
    <w:tmpl w:val="96D03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DFF0E5C"/>
    <w:multiLevelType w:val="multilevel"/>
    <w:tmpl w:val="3F86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8C90B8B"/>
    <w:multiLevelType w:val="hybridMultilevel"/>
    <w:tmpl w:val="15D017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D19"/>
    <w:rsid w:val="001E78A6"/>
    <w:rsid w:val="00342F9C"/>
    <w:rsid w:val="003918A8"/>
    <w:rsid w:val="005C379B"/>
    <w:rsid w:val="00AB1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3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C37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37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37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C37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37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ferent.ru/1/2672?l0" TargetMode="External"/><Relationship Id="rId13" Type="http://schemas.openxmlformats.org/officeDocument/2006/relationships/hyperlink" Target="http://ru.wikipedia.org/wiki/%D0%96%D0%B8%D0%BB%D0%B8%D1%89%D0%BD%D0%BE-%D0%BA%D0%BE%D0%BC%D0%BC%D1%83%D0%BD%D0%B0%D0%BB%D1%8C%D0%BD%D0%BE%D0%B5_%D1%85%D0%BE%D0%B7%D1%8F%D0%B9%D1%81%D1%82%D0%B2%D0%BE"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ru.wikipedia.org/w/index.php?title=%D0%9E%D1%85%D1%80%D0%B0%D0%BD%D0%B0_%D0%BE%D0%B1%D1%89%D0%B5%D1%81%D1%82%D0%B2%D0%B5%D0%BD%D0%BD%D0%BE%D0%B3%D0%BE_%D0%BF%D0%BE%D1%80%D1%8F%D0%B4%D0%BA%D0%B0&amp;action=edit&amp;redlink=1"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u.wikipedia.org/wiki/%D0%A1%D0%BF%D0%BE%D1%80%D1%82"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ru.wikipedia.org/wiki/%D0%9A%D1%83%D0%BB%D1%8C%D1%82%D1%83%D1%80%D0%B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ru.wikipedia.org/wiki/%D0%9E%D0%B1%D1%80%D0%B0%D0%B7%D0%BE%D0%B2%D0%B0%D0%BD%D0%B8%D0%B5"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1940</Words>
  <Characters>11061</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РПОЛЛР</dc:creator>
  <cp:lastModifiedBy>РПОЛЛР</cp:lastModifiedBy>
  <cp:revision>3</cp:revision>
  <dcterms:created xsi:type="dcterms:W3CDTF">2019-03-17T12:03:00Z</dcterms:created>
  <dcterms:modified xsi:type="dcterms:W3CDTF">2019-03-17T12:03:00Z</dcterms:modified>
</cp:coreProperties>
</file>